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adjustRightInd w:val="0"/>
        <w:snapToGrid w:val="0"/>
        <w:spacing w:line="560" w:lineRule="exact"/>
        <w:ind w:firstLineChars="200" w:firstLine="872"/>
        <w:jc w:val="center"/>
        <w:rPr>
          <w:rFonts w:ascii="方正黑体_GBK" w:eastAsia="方正黑体_GBK" w:hint="eastAsia"/>
          <w:sz w:val="44"/>
          <w:szCs w:val="44"/>
        </w:rPr>
      </w:pPr>
      <w:bookmarkStart w:id="0" w:name="_GoBack"/>
      <w:bookmarkEnd w:id="0"/>
      <w:r>
        <w:rPr>
          <w:rFonts w:ascii="方正黑体_GBK" w:eastAsia="方正黑体_GBK" w:hint="eastAsia"/>
          <w:sz w:val="44"/>
          <w:szCs w:val="44"/>
        </w:rPr>
        <w:t>乌鲁木齐海关2020年</w:t>
      </w:r>
      <w:r>
        <w:rPr>
          <w:rFonts w:ascii="方正黑体_GBK" w:eastAsia="方正黑体_GBK"/>
          <w:sz w:val="44"/>
          <w:szCs w:val="44"/>
        </w:rPr>
        <w:t>工作计划</w:t>
      </w:r>
    </w:p>
    <w:p>
      <w:pPr>
        <w:pStyle w:val="126"/>
        <w:adjustRightInd w:val="0"/>
        <w:snapToGrid w:val="0"/>
        <w:spacing w:line="560" w:lineRule="exact"/>
        <w:ind w:firstLineChars="200" w:firstLine="632"/>
        <w:rPr>
          <w:rFonts w:ascii="方正楷体_GBK" w:eastAsia="方正楷体_GBK" w:hint="eastAsia"/>
          <w:b/>
          <w:szCs w:val="32"/>
        </w:rPr>
      </w:pPr>
      <w:r>
        <w:rPr>
          <w:szCs w:val="32"/>
        </w:rPr>
        <w:t>20</w:t>
      </w:r>
      <w:r>
        <w:rPr>
          <w:rFonts w:hint="eastAsia"/>
          <w:szCs w:val="32"/>
        </w:rPr>
        <w:t>20</w:t>
      </w:r>
      <w:r>
        <w:rPr>
          <w:szCs w:val="32"/>
        </w:rPr>
        <w:t>年，</w:t>
      </w:r>
      <w:r>
        <w:rPr>
          <w:rFonts w:ascii="方正仿宋_GBK" w:hint="eastAsia"/>
          <w:szCs w:val="32"/>
        </w:rPr>
        <w:t>我关将继续深入学习贯彻习近平新时代中国特色社会主义思想和党的十九大、十九届二中、三中、四中全会精神，</w:t>
      </w:r>
      <w:r>
        <w:rPr>
          <w:color w:val="000000"/>
          <w:szCs w:val="32"/>
        </w:rPr>
        <w:t>不断增强</w:t>
      </w:r>
      <w:r>
        <w:rPr>
          <w:rFonts w:hint="eastAsia"/>
          <w:color w:val="000000"/>
          <w:szCs w:val="32"/>
        </w:rPr>
        <w:t>“四个意识”，坚定“四个自信”，做到“两个维护”，</w:t>
      </w:r>
      <w:r>
        <w:rPr>
          <w:rFonts w:ascii="方正仿宋_GBK" w:hint="eastAsia"/>
          <w:szCs w:val="32"/>
        </w:rPr>
        <w:t>认真落实总署党委“五关”建设部署，以乌鲁木齐海关建关</w:t>
      </w:r>
      <w:r>
        <w:rPr>
          <w:szCs w:val="32"/>
        </w:rPr>
        <w:t>70周年和红其拉甫海关被国务院授予荣誉称号15周年为契</w:t>
      </w:r>
      <w:r>
        <w:rPr>
          <w:rFonts w:ascii="方正仿宋_GBK" w:hint="eastAsia"/>
          <w:szCs w:val="32"/>
        </w:rPr>
        <w:t>机，</w:t>
      </w:r>
      <w:r>
        <w:rPr>
          <w:color w:val="000000"/>
          <w:szCs w:val="32"/>
        </w:rPr>
        <w:t>坚定信心、主动作为，</w:t>
      </w:r>
      <w:r>
        <w:rPr>
          <w:rFonts w:hint="eastAsia"/>
          <w:color w:val="000000"/>
          <w:szCs w:val="32"/>
        </w:rPr>
        <w:t>全</w:t>
      </w:r>
      <w:r>
        <w:rPr>
          <w:color w:val="000000"/>
          <w:szCs w:val="32"/>
        </w:rPr>
        <w:t>力</w:t>
      </w:r>
      <w:r>
        <w:rPr>
          <w:rFonts w:hint="eastAsia"/>
          <w:color w:val="000000"/>
          <w:szCs w:val="32"/>
        </w:rPr>
        <w:t>服务国家改革发展战略和新疆稳定发展大局，凝心聚力开创新海关建设新局面。</w:t>
      </w:r>
    </w:p>
    <w:p>
      <w:pPr>
        <w:pStyle w:val="18"/>
        <w:adjustRightInd w:val="0"/>
        <w:snapToGrid w:val="0"/>
        <w:spacing w:line="560" w:lineRule="exact"/>
        <w:ind w:firstLineChars="200" w:firstLine="632"/>
        <w:rPr>
          <w:rFonts w:ascii="方正楷体_GBK" w:eastAsia="方正楷体_GBK"/>
          <w:b/>
          <w:bCs/>
        </w:rPr>
      </w:pPr>
      <w:r>
        <w:rPr>
          <w:rFonts w:ascii="方正楷体_GBK" w:eastAsia="方正楷体_GBK" w:cs="Times New Roman"/>
          <w:b/>
          <w:bCs/>
          <w:lang w:bidi="ar-SA"/>
        </w:rPr>
        <w:t>一、</w:t>
      </w:r>
      <w:r>
        <w:rPr>
          <w:rFonts w:ascii="方正楷体_GBK" w:eastAsia="方正楷体_GBK" w:cs="Times New Roman" w:hint="eastAsia"/>
          <w:b/>
          <w:bCs/>
          <w:lang w:bidi="ar-SA"/>
        </w:rPr>
        <w:t>加强口岸实际监管。</w:t>
      </w:r>
      <w:r>
        <w:t>拓展关区二级监控指挥中心功能。持续强</w:t>
      </w:r>
      <w:r>
        <w:rPr>
          <w:rFonts w:ascii="方正仿宋_GBK" w:hint="eastAsia"/>
        </w:rPr>
        <w:t>化“</w:t>
      </w:r>
      <w:r>
        <w:t>3个100%</w:t>
      </w:r>
      <w:r>
        <w:rPr>
          <w:rFonts w:ascii="方正仿宋_GBK" w:hint="eastAsia"/>
        </w:rPr>
        <w:t>”机</w:t>
      </w:r>
      <w:r>
        <w:t>检查验。</w:t>
      </w:r>
      <w:r>
        <w:rPr>
          <w:rFonts w:ascii="方正仿宋_GBK" w:hint="eastAsia"/>
        </w:rPr>
        <w:t>推进“智慧旅检”建设，探索“无感通关”等智能通关模式。强化边民互市监管和“水客”治理。深入开展知识产权海关保护“龙</w:t>
      </w:r>
      <w:r>
        <w:t>腾行动2020</w:t>
      </w:r>
      <w:r>
        <w:rPr>
          <w:rFonts w:ascii="方正仿宋_GBK" w:hint="eastAsia"/>
        </w:rPr>
        <w:t>”，</w:t>
      </w:r>
      <w:r>
        <w:t>严厉打击侵权假冒违法行为。</w:t>
      </w:r>
    </w:p>
    <w:p>
      <w:pPr>
        <w:pStyle w:val="18"/>
        <w:adjustRightInd w:val="0"/>
        <w:snapToGrid w:val="0"/>
        <w:spacing w:line="560" w:lineRule="exact"/>
        <w:ind w:firstLineChars="200" w:firstLine="632"/>
      </w:pPr>
      <w:r>
        <w:rPr>
          <w:rFonts w:ascii="方正楷体_GBK" w:eastAsia="方正楷体_GBK" w:cs="Times New Roman"/>
          <w:b/>
          <w:bCs/>
          <w:lang w:bidi="ar-SA"/>
        </w:rPr>
        <w:t>二、</w:t>
      </w:r>
      <w:r>
        <w:rPr>
          <w:rFonts w:ascii="方正楷体_GBK" w:eastAsia="方正楷体_GBK" w:cs="Times New Roman" w:hint="eastAsia"/>
          <w:b/>
          <w:bCs/>
          <w:lang w:bidi="ar-SA"/>
        </w:rPr>
        <w:t>全力促进新疆核心区建设。</w:t>
      </w:r>
      <w:r>
        <w:t>积极促进国际陆港、综合保税区、边民互市、跨境电商、指定监管场地等重点项目建设，力争取得更多标志性成果。优化中欧班列和多式联运监管，积极推</w:t>
      </w:r>
      <w:r>
        <w:rPr>
          <w:rFonts w:ascii="方正仿宋_GBK" w:hint="eastAsia"/>
        </w:rPr>
        <w:t>动“关铁通”项目</w:t>
      </w:r>
      <w:r>
        <w:t>实施。巩固压缩货物整体通关时间和清理规范进出口环节涉企收费成果，落实简化口岸验核监管证件、压减进出口环节单证数量的部署。拓展国</w:t>
      </w:r>
      <w:r>
        <w:rPr>
          <w:rFonts w:ascii="方正仿宋_GBK" w:hint="eastAsia"/>
        </w:rPr>
        <w:t>际贸易“单一窗口”功能</w:t>
      </w:r>
      <w:r>
        <w:t>应用。落实促进加工贸易转型升级措施，推动向产业链两端延伸。围绕核心区发展热点，深入开展政策研究，积极建言献策。加强外贸形势分析和监测预警，提高统计服务层次。持续落实</w:t>
      </w:r>
      <w:r>
        <w:rPr>
          <w:rFonts w:ascii="方正仿宋_GBK" w:hint="eastAsia"/>
        </w:rPr>
        <w:t>好“</w:t>
      </w:r>
      <w:r>
        <w:t>12519行动方案</w:t>
      </w:r>
      <w:r>
        <w:rPr>
          <w:rFonts w:ascii="方正仿宋_GBK" w:hint="eastAsia"/>
        </w:rPr>
        <w:t>”以</w:t>
      </w:r>
      <w:r>
        <w:t>及关地合作备忘录。根据要求，推动总署与自治区签署新一轮署区合作备忘录。</w:t>
      </w:r>
    </w:p>
    <w:p>
      <w:pPr>
        <w:pStyle w:val="18"/>
        <w:adjustRightInd w:val="0"/>
        <w:snapToGrid w:val="0"/>
        <w:spacing w:line="560" w:lineRule="exact"/>
        <w:ind w:firstLineChars="200" w:firstLine="632"/>
      </w:pPr>
      <w:r>
        <w:rPr>
          <w:rFonts w:ascii="方正楷体_GBK" w:eastAsia="方正楷体_GBK" w:cs="Times New Roman"/>
          <w:b/>
          <w:bCs/>
          <w:lang w:bidi="ar-SA"/>
        </w:rPr>
        <w:t>三、</w:t>
      </w:r>
      <w:r>
        <w:rPr>
          <w:rFonts w:ascii="方正楷体_GBK" w:eastAsia="方正楷体_GBK" w:cs="Times New Roman" w:hint="eastAsia"/>
          <w:b/>
          <w:bCs/>
          <w:lang w:bidi="ar-SA"/>
        </w:rPr>
        <w:t>坚决维护国门生物安全。</w:t>
      </w:r>
      <w:r>
        <w:t>加大非洲猪瘟、苹果枝枯病等重大动植物疫病疫情监测和阻截力度，构建实时高效的监测与预警体系。强化风险评估、检疫准入、境外预检、企业注册等源头管控，推进农产品检疫分类管理。与吉尔吉斯、哈萨克斯坦开展有害生物跨境联合</w:t>
      </w:r>
      <w:r>
        <w:rPr>
          <w:rFonts w:ascii="方正仿宋_GBK" w:hint="eastAsia"/>
        </w:rPr>
        <w:t>监测，加强动植物检疫处理技术培训和协作，全面推动“中亚生物安全通道建设”，强</w:t>
      </w:r>
      <w:r>
        <w:t>化动植物检疫国际共治。</w:t>
      </w:r>
    </w:p>
    <w:p>
      <w:pPr>
        <w:pStyle w:val="18"/>
        <w:adjustRightInd w:val="0"/>
        <w:snapToGrid w:val="0"/>
        <w:spacing w:line="560" w:lineRule="exact"/>
        <w:ind w:firstLineChars="200" w:firstLine="632"/>
      </w:pPr>
      <w:r>
        <w:rPr>
          <w:rFonts w:ascii="方正楷体_GBK" w:eastAsia="方正楷体_GBK" w:cs="Times New Roman"/>
          <w:b/>
          <w:bCs/>
          <w:lang w:bidi="ar-SA"/>
        </w:rPr>
        <w:t>四、</w:t>
      </w:r>
      <w:r>
        <w:rPr>
          <w:rFonts w:ascii="方正楷体_GBK" w:eastAsia="方正楷体_GBK" w:cs="Times New Roman" w:hint="eastAsia"/>
          <w:b/>
          <w:bCs/>
          <w:lang w:bidi="ar-SA"/>
        </w:rPr>
        <w:t>强化口岸疫病疫情防控。</w:t>
      </w:r>
      <w:r>
        <w:t>扎实做好疫情搜集评估、病媒生物风险分析、卫生检疫查验，提升重大疫情早期预警能力。加强口岸公共卫生核心能力建设，抓好口岸传染病疫情防控，严防重大传染病疫情传入。强化联防联控和入境后管理，提高国际旅行健康服务水平。</w:t>
      </w:r>
    </w:p>
    <w:p>
      <w:pPr>
        <w:pStyle w:val="18"/>
        <w:adjustRightInd w:val="0"/>
        <w:snapToGrid w:val="0"/>
        <w:spacing w:line="560" w:lineRule="exact"/>
        <w:ind w:firstLineChars="200" w:firstLine="632"/>
      </w:pPr>
      <w:r>
        <w:rPr>
          <w:rFonts w:ascii="方正楷体_GBK" w:eastAsia="方正楷体_GBK" w:cs="Times New Roman"/>
          <w:b/>
          <w:bCs/>
          <w:lang w:bidi="ar-SA"/>
        </w:rPr>
        <w:t>五、</w:t>
      </w:r>
      <w:r>
        <w:rPr>
          <w:rFonts w:ascii="方正楷体_GBK" w:eastAsia="方正楷体_GBK" w:cs="Times New Roman" w:hint="eastAsia"/>
          <w:b/>
          <w:bCs/>
          <w:lang w:bidi="ar-SA"/>
        </w:rPr>
        <w:t>严把进出口食品安全关。</w:t>
      </w:r>
      <w:r>
        <w:t>坚决贯</w:t>
      </w:r>
      <w:r>
        <w:rPr>
          <w:rFonts w:ascii="方正仿宋_GBK" w:hint="eastAsia"/>
        </w:rPr>
        <w:t>彻“四个最严”要</w:t>
      </w:r>
      <w:r>
        <w:t>求，扎实开展进口食品监督抽查和风险监控，严防食品安全输入风险。深入开展进口食</w:t>
      </w:r>
      <w:r>
        <w:rPr>
          <w:rFonts w:ascii="方正仿宋_GBK" w:hint="eastAsia"/>
        </w:rPr>
        <w:t>品“国门守护”行动。针</w:t>
      </w:r>
      <w:r>
        <w:t>对边民互市、合作中心等重点区域，加大进出口食品安全专项检查力度。严防入境食品标</w:t>
      </w:r>
      <w:r>
        <w:rPr>
          <w:rFonts w:ascii="方正仿宋_GBK" w:hint="eastAsia"/>
        </w:rPr>
        <w:t>识“双泛”问题</w:t>
      </w:r>
      <w:r>
        <w:t>。推动扩大周边国家优质食品准入。加强对周边国家技贸措施的跟踪收集与分析研究，帮扶企业扩大出口。</w:t>
      </w:r>
    </w:p>
    <w:p>
      <w:pPr>
        <w:pStyle w:val="18"/>
        <w:adjustRightInd w:val="0"/>
        <w:snapToGrid w:val="0"/>
        <w:spacing w:line="560" w:lineRule="exact"/>
        <w:ind w:firstLineChars="200" w:firstLine="632"/>
      </w:pPr>
      <w:r>
        <w:rPr>
          <w:rFonts w:ascii="方正楷体_GBK" w:eastAsia="方正楷体_GBK" w:cs="Times New Roman"/>
          <w:b/>
          <w:bCs/>
          <w:lang w:bidi="ar-SA"/>
        </w:rPr>
        <w:t>六、</w:t>
      </w:r>
      <w:r>
        <w:rPr>
          <w:rFonts w:ascii="方正楷体_GBK" w:eastAsia="方正楷体_GBK" w:cs="Times New Roman" w:hint="eastAsia"/>
          <w:b/>
          <w:bCs/>
          <w:lang w:bidi="ar-SA"/>
        </w:rPr>
        <w:t>加强进出口质量安全监管。</w:t>
      </w:r>
      <w:r>
        <w:t>完善进出口商品安全风险预警和快速反应体系建设，以推进国家级进出口消费品质量安全风险监测点建设为重点，布局关区监测点网络。加强进口矿产品首次鉴定和固废属性鉴别能力建设。</w:t>
      </w:r>
      <w:r>
        <w:rPr>
          <w:rFonts w:ascii="方正仿宋_GBK" w:hint="eastAsia"/>
        </w:rPr>
        <w:t>深化“先放后检”“企业自主申报鉴重”等商品检验模式改革，推进第三方检验结果采</w:t>
      </w:r>
      <w:r>
        <w:t>信。强化进出口危险化学品、旧机电、婴童用品等重点敏感商品监管。</w:t>
      </w:r>
    </w:p>
    <w:p>
      <w:pPr>
        <w:pStyle w:val="18"/>
        <w:adjustRightInd w:val="0"/>
        <w:snapToGrid w:val="0"/>
        <w:spacing w:line="560" w:lineRule="exact"/>
        <w:ind w:firstLineChars="200" w:firstLine="632"/>
      </w:pPr>
      <w:r>
        <w:rPr>
          <w:rFonts w:ascii="方正楷体_GBK" w:eastAsia="方正楷体_GBK" w:cs="Times New Roman"/>
          <w:b/>
          <w:bCs/>
          <w:lang w:bidi="ar-SA"/>
        </w:rPr>
        <w:t>七、</w:t>
      </w:r>
      <w:r>
        <w:rPr>
          <w:rFonts w:ascii="方正楷体_GBK" w:eastAsia="方正楷体_GBK" w:cs="Times New Roman" w:hint="eastAsia"/>
          <w:b/>
          <w:bCs/>
          <w:lang w:bidi="ar-SA"/>
        </w:rPr>
        <w:t>提升后续监管效能。</w:t>
      </w:r>
      <w:r>
        <w:t>探索实施差别化稽查和分类核查，</w:t>
      </w:r>
      <w:r>
        <w:rPr>
          <w:rFonts w:ascii="方正仿宋_GBK" w:hint="eastAsia"/>
        </w:rPr>
        <w:t>深入开展“多查合一”。优化</w:t>
      </w:r>
      <w:r>
        <w:t>加工贸易监管模式，推进加工贸易集中审核作业。加大关区认证企业培育力度。加强企业信用管理，进一步提高企业画像精准度，落实差别化监管措施，完善企业协调员制度。扩大跨部门信息交换，加大联合激励、联合惩戒力度。深化综合治税，依法征管，加强属地纳税人管理，进一步推广关税保证保险等便利措施，全力以赴完成税收预算目标。</w:t>
      </w:r>
    </w:p>
    <w:p>
      <w:pPr>
        <w:pStyle w:val="18"/>
        <w:adjustRightInd w:val="0"/>
        <w:snapToGrid w:val="0"/>
        <w:spacing w:line="560" w:lineRule="exact"/>
        <w:ind w:firstLineChars="200" w:firstLine="632"/>
        <w:rPr>
          <w:rFonts w:ascii="方正仿宋_GBK" w:hint="eastAsia"/>
        </w:rPr>
      </w:pPr>
      <w:r>
        <w:rPr>
          <w:rFonts w:ascii="方正楷体_GBK" w:eastAsia="方正楷体_GBK" w:cs="Times New Roman"/>
          <w:b/>
          <w:bCs/>
          <w:lang w:bidi="ar-SA"/>
        </w:rPr>
        <w:t>八、</w:t>
      </w:r>
      <w:r>
        <w:rPr>
          <w:rFonts w:ascii="方正楷体_GBK" w:eastAsia="方正楷体_GBK" w:cs="Times New Roman" w:hint="eastAsia"/>
          <w:b/>
          <w:bCs/>
          <w:lang w:bidi="ar-SA"/>
        </w:rPr>
        <w:t>始终保持打击走私高压态势。</w:t>
      </w:r>
      <w:r>
        <w:t>坚决贯彻党中央缉私管理体制调整重大决策，持之以恒履行好领导负责缉私业务工作的职责。深入开展</w:t>
      </w:r>
      <w:r>
        <w:rPr>
          <w:rFonts w:ascii="方正仿宋_GBK" w:hint="eastAsia"/>
        </w:rPr>
        <w:t>“国</w:t>
      </w:r>
      <w:r>
        <w:t>门利剑2020</w:t>
      </w:r>
      <w:r>
        <w:rPr>
          <w:rFonts w:ascii="方正仿宋_GBK" w:hint="eastAsia"/>
        </w:rPr>
        <w:t>”“蓝</w:t>
      </w:r>
      <w:r>
        <w:t>天2020</w:t>
      </w:r>
      <w:r>
        <w:rPr>
          <w:rFonts w:ascii="方正仿宋_GBK" w:hint="eastAsia"/>
        </w:rPr>
        <w:t>”专项</w:t>
      </w:r>
      <w:r>
        <w:t>行动。深</w:t>
      </w:r>
      <w:r>
        <w:rPr>
          <w:rFonts w:ascii="方正仿宋_GBK" w:hint="eastAsia"/>
        </w:rPr>
        <w:t>化“智慧缉私”，提升“四中心”打击走私实</w:t>
      </w:r>
      <w:r>
        <w:t>战效能。深入推进反走私综合治理，构建打防管控一体化反走私立体防线。积</w:t>
      </w:r>
      <w:r>
        <w:rPr>
          <w:rFonts w:ascii="方正仿宋_GBK" w:hint="eastAsia"/>
        </w:rPr>
        <w:t>极参与“大地女神”“雷电”等国际联合执法行动。</w:t>
      </w:r>
    </w:p>
    <w:p>
      <w:pPr>
        <w:pStyle w:val="18"/>
        <w:adjustRightInd w:val="0"/>
        <w:snapToGrid w:val="0"/>
        <w:spacing w:line="560" w:lineRule="exact"/>
        <w:ind w:firstLineChars="200" w:firstLine="632"/>
      </w:pPr>
      <w:r>
        <w:rPr>
          <w:rFonts w:ascii="方正楷体_GBK" w:eastAsia="方正楷体_GBK" w:cs="Times New Roman"/>
          <w:b/>
          <w:bCs/>
          <w:lang w:bidi="ar-SA"/>
        </w:rPr>
        <w:t>九、</w:t>
      </w:r>
      <w:r>
        <w:rPr>
          <w:rFonts w:ascii="方正楷体_GBK" w:eastAsia="方正楷体_GBK" w:cs="Times New Roman" w:hint="eastAsia"/>
          <w:b/>
          <w:bCs/>
          <w:lang w:bidi="ar-SA"/>
        </w:rPr>
        <w:t>着力深化海关国际合作。</w:t>
      </w:r>
      <w:r>
        <w:t>落实海关总</w:t>
      </w:r>
      <w:r>
        <w:rPr>
          <w:rFonts w:ascii="方正仿宋_GBK" w:hint="eastAsia"/>
        </w:rPr>
        <w:t>署“智慧海关、智能边境、智享联通”部署，结合关区实际，积极推进中巴农副产品快速通关“绿色通道”开通、合作中心跨境联网监</w:t>
      </w:r>
      <w:r>
        <w:t>管平台上线运行等重点合作项目。巩固与周边国家海关双边合作机制，拓展合作内容和范围，开展中巴、中吉、中哈、中塔年度边境海关负责人会谈。创新与中亚五国的合作机制，探索开展多边合作。</w:t>
      </w:r>
    </w:p>
    <w:p>
      <w:pPr>
        <w:pStyle w:val="19"/>
        <w:adjustRightInd w:val="0"/>
        <w:snapToGrid w:val="0"/>
        <w:spacing w:line="560" w:lineRule="exact"/>
        <w:ind w:firstLineChars="200" w:firstLine="632"/>
      </w:pPr>
      <w:r>
        <w:rPr>
          <w:rFonts w:ascii="方正楷体_GBK" w:eastAsia="方正楷体_GBK" w:cs="Times New Roman"/>
          <w:b/>
          <w:bCs/>
          <w:lang w:bidi="ar-SA"/>
        </w:rPr>
        <w:t>十、</w:t>
      </w:r>
      <w:r>
        <w:rPr>
          <w:rFonts w:ascii="方正楷体_GBK" w:eastAsia="方正楷体_GBK" w:cs="Times New Roman" w:hint="eastAsia"/>
          <w:b/>
          <w:bCs/>
          <w:lang w:bidi="ar-SA"/>
        </w:rPr>
        <w:t>务实做好“访惠聚”驻村和精准扶贫工作。</w:t>
      </w:r>
      <w:r>
        <w:t>继续选派优秀干部开展驻村工作，进一步</w:t>
      </w:r>
      <w:r>
        <w:rPr>
          <w:rFonts w:ascii="方正仿宋_GBK" w:hint="eastAsia"/>
        </w:rPr>
        <w:t>充实“访惠聚”工作</w:t>
      </w:r>
      <w:r>
        <w:t>队力量。制定2020年助力脱贫攻坚实施方案，召开扶贫工作会议，积极推进各项扶贫项目实施，全力以赴坚决打好打赢脱贫攻坚战，实现帮扶贫困村按计划整体脱贫。认真组织开</w:t>
      </w:r>
      <w:r>
        <w:rPr>
          <w:rFonts w:ascii="方正仿宋_GBK" w:hint="eastAsia"/>
        </w:rPr>
        <w:t>展“民族团结一家亲</w:t>
      </w:r>
      <w:r>
        <w:rPr>
          <w:rFonts w:hint="eastAsia"/>
        </w:rPr>
        <w:t>”</w:t>
      </w:r>
      <w:r>
        <w:t>活动为增进民族团结贡献海关力量。</w:t>
      </w:r>
    </w:p>
    <w:p>
      <w:pPr>
        <w:jc w:val="left"/>
      </w:pPr>
    </w:p>
    <w:sectPr>
      <w:footerReference w:type="default" r:id="rId2"/>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2"/>
    <w:basedOn w:val="0"/>
    <w:autoRedefine/>
    <w:next w:val="0"/>
    <w:pPr>
      <w:ind w:left="420"/>
    </w:pPr>
  </w:style>
  <w:style w:type="paragraph" w:styleId="16">
    <w:name w:val="header"/>
    <w:basedOn w:val="0"/>
    <w:pPr>
      <w:pBdr>
        <w:bottom w:val="single" w:sz="6" w:space="1" w:color="auto"/>
      </w:pBdr>
      <w:tabs>
        <w:tab w:val="center" w:pos="4153"/>
        <w:tab w:val="right" w:pos="8307"/>
      </w:tabs>
      <w:snapToGrid w:val="0"/>
      <w:jc w:val="center"/>
    </w:pPr>
    <w:rPr>
      <w:sz w:val="18"/>
    </w:rPr>
  </w:style>
  <w:style w:type="paragraph" w:styleId="17">
    <w:name w:val="footer"/>
    <w:basedOn w:val="0"/>
    <w:pPr>
      <w:tabs>
        <w:tab w:val="center" w:pos="4153"/>
        <w:tab w:val="right" w:pos="8307"/>
      </w:tabs>
      <w:snapToGrid w:val="0"/>
      <w:jc w:val="left"/>
    </w:pPr>
    <w:rPr>
      <w:sz w:val="18"/>
    </w:rPr>
  </w:style>
  <w:style w:type="paragraph" w:customStyle="1" w:styleId="18">
    <w:name w:val="样式 三号"/>
    <w:next w:val="19"/>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
    <w:name w:val="样式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
    <w:name w:val="样式 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6">
    <w:name w:val="样式 2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4</Pages>
  <Words>1880</Words>
  <Characters>1907</Characters>
  <Lines>72</Lines>
  <Paragraphs>12</Paragraphs>
  <CharactersWithSpaces>1907</CharactersWithSpaces>
  <Company>zhengzhou</Company>
</Properties>
</file>

<file path=docProps/core.xml><?xml version="1.0" encoding="utf-8"?>
<cp:coreProperties xmlns:cp="http://schemas.openxmlformats.org/package/2006/metadata/core-properties" xmlns:dc="http://purl.org/dc/elements/1.1/" xmlns:dcterms="http://purl.org/dc/terms/" xmlns:xsi="http://www.w3.org/2001/XMLSchema-instance">
  <dc:creator>梁昉</dc:creator>
  <cp:lastModifiedBy>梁昉</cp:lastModifiedBy>
  <cp:revision>1</cp:revision>
  <dcterms:created xsi:type="dcterms:W3CDTF">2020-03-27T02:35:45Z</dcterms:created>
  <dcterms:modified xsi:type="dcterms:W3CDTF">2020-03-27T02:43:53Z</dcterms:modified>
</cp:coreProperties>
</file>