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ascii="黑体" w:hAnsi="黑体" w:eastAsia="黑体" w:cs="方正小标宋_GBK"/>
          <w:sz w:val="32"/>
          <w:szCs w:val="32"/>
        </w:rPr>
      </w:pPr>
      <w:bookmarkStart w:id="0" w:name="_Hlk25540369"/>
      <w:r>
        <w:rPr>
          <w:rFonts w:hint="eastAsia" w:ascii="黑体" w:hAnsi="黑体" w:eastAsia="黑体" w:cs="方正小标宋_GBK"/>
          <w:sz w:val="32"/>
          <w:szCs w:val="32"/>
        </w:rPr>
        <w:t>附件</w:t>
      </w:r>
    </w:p>
    <w:p>
      <w:pPr>
        <w:spacing w:line="580" w:lineRule="exact"/>
        <w:jc w:val="left"/>
        <w:rPr>
          <w:rFonts w:ascii="黑体" w:hAnsi="黑体" w:eastAsia="黑体" w:cs="方正小标宋_GBK"/>
          <w:sz w:val="32"/>
          <w:szCs w:val="32"/>
        </w:rPr>
      </w:pPr>
    </w:p>
    <w:p>
      <w:pPr>
        <w:spacing w:line="58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乌鲁木齐海关政府信息公开工作年度报告</w:t>
      </w:r>
      <w:bookmarkEnd w:id="0"/>
    </w:p>
    <w:p>
      <w:pPr>
        <w:spacing w:line="580" w:lineRule="exact"/>
        <w:jc w:val="center"/>
        <w:rPr>
          <w:rFonts w:ascii="方正小标宋_GBK" w:hAnsi="方正小标宋_GBK" w:eastAsia="方正小标宋_GBK" w:cs="方正小标宋_GBK"/>
          <w:sz w:val="44"/>
          <w:szCs w:val="44"/>
        </w:rPr>
      </w:pPr>
    </w:p>
    <w:p>
      <w:pPr>
        <w:autoSpaceDN w:val="0"/>
        <w:ind w:firstLine="640" w:firstLineChars="200"/>
        <w:jc w:val="left"/>
        <w:rPr>
          <w:rFonts w:eastAsia="黑体"/>
          <w:sz w:val="32"/>
          <w:szCs w:val="32"/>
        </w:rPr>
      </w:pPr>
      <w:r>
        <w:rPr>
          <w:rFonts w:hint="eastAsia" w:eastAsia="黑体"/>
          <w:sz w:val="32"/>
          <w:szCs w:val="32"/>
        </w:rPr>
        <w:t>一、总体情况</w:t>
      </w:r>
    </w:p>
    <w:p>
      <w:pPr>
        <w:autoSpaceDN w:val="0"/>
        <w:ind w:firstLine="640" w:firstLineChars="200"/>
        <w:jc w:val="left"/>
        <w:rPr>
          <w:rFonts w:eastAsia="仿宋"/>
          <w:sz w:val="32"/>
          <w:szCs w:val="32"/>
        </w:rPr>
      </w:pPr>
      <w:r>
        <w:rPr>
          <w:rFonts w:eastAsia="仿宋"/>
          <w:sz w:val="32"/>
          <w:szCs w:val="32"/>
        </w:rPr>
        <w:t>2019年，在总署办公厅政务公开处的正确领导下，乌鲁木齐海关认真落实《2019年海关政务公开工作要点》要求，努力提升政务公开的质量和实效，完善政务公开制度规范，推进重点领域公开，加强政策解读和社会关切回应，优化门户网站建设，努力提高工作的透明度。</w:t>
      </w:r>
    </w:p>
    <w:p>
      <w:pPr>
        <w:pStyle w:val="8"/>
        <w:autoSpaceDN w:val="0"/>
        <w:ind w:left="640" w:firstLine="0" w:firstLineChars="0"/>
        <w:jc w:val="left"/>
        <w:rPr>
          <w:rFonts w:eastAsia="黑体"/>
          <w:sz w:val="32"/>
          <w:szCs w:val="32"/>
        </w:rPr>
      </w:pPr>
      <w:r>
        <w:rPr>
          <w:rFonts w:hint="eastAsia" w:eastAsia="黑体"/>
          <w:sz w:val="32"/>
          <w:szCs w:val="32"/>
        </w:rPr>
        <w:t>（一）</w:t>
      </w:r>
      <w:r>
        <w:rPr>
          <w:rFonts w:eastAsia="黑体"/>
          <w:sz w:val="32"/>
          <w:szCs w:val="32"/>
        </w:rPr>
        <w:t>丰富形式，强化政策解读</w:t>
      </w:r>
    </w:p>
    <w:p>
      <w:pPr>
        <w:autoSpaceDN w:val="0"/>
        <w:ind w:firstLine="640" w:firstLineChars="200"/>
        <w:jc w:val="left"/>
        <w:rPr>
          <w:rFonts w:eastAsia="仿宋"/>
          <w:sz w:val="32"/>
          <w:szCs w:val="32"/>
        </w:rPr>
      </w:pPr>
      <w:r>
        <w:rPr>
          <w:rFonts w:eastAsia="仿宋"/>
          <w:sz w:val="32"/>
          <w:szCs w:val="32"/>
        </w:rPr>
        <w:t>创新宣传方式，加强对涉及群众切身利益或影响市场预期的重大政策的宣传和解释力度。及时通过各级新闻媒体刊载新闻稿件、刊播新闻对实施重大政策、业务改革进行宣传和解释，扩大政策普及面。2019年，共在中央媒体、地方媒体刊载/播海关政策、业务改革稿件及新闻225篇/次。 组织关区业务专家前往新疆各地州开展政策宣讲，各隶属海关在驻地召开企业座谈会，近距离地开展政策辅导，2019年关区共召开企业座谈会53次，举办大型政策宣讲会8次，共涉及企业610余家，参会外贸人员2700余人次。及时在门户网站“政策解读”栏目转载和发布总署及本关出台政策解读，增设“在线访谈”“直播”栏目，采用网上交流、音频视频等群众喜闻乐见的方式立体式地宣传海关政策，增强政策解读的实用性。在乌鲁木齐海关官方微信平台“乌鲁木齐海关发布”发布政策解读微信稿件，共计发布政策解读类稿件112篇。</w:t>
      </w:r>
    </w:p>
    <w:p>
      <w:pPr>
        <w:pStyle w:val="8"/>
        <w:autoSpaceDN w:val="0"/>
        <w:ind w:left="640" w:firstLine="0" w:firstLineChars="0"/>
        <w:jc w:val="left"/>
        <w:rPr>
          <w:rFonts w:eastAsia="黑体"/>
          <w:sz w:val="32"/>
          <w:szCs w:val="32"/>
        </w:rPr>
      </w:pPr>
      <w:r>
        <w:rPr>
          <w:rFonts w:hint="eastAsia" w:eastAsia="黑体"/>
          <w:sz w:val="32"/>
          <w:szCs w:val="32"/>
        </w:rPr>
        <w:t>（二）</w:t>
      </w:r>
      <w:r>
        <w:rPr>
          <w:rFonts w:eastAsia="黑体"/>
          <w:sz w:val="32"/>
          <w:szCs w:val="32"/>
        </w:rPr>
        <w:t>优化门户网站建设，提升服务效能</w:t>
      </w:r>
    </w:p>
    <w:p>
      <w:pPr>
        <w:pStyle w:val="9"/>
        <w:autoSpaceDN w:val="0"/>
        <w:adjustRightInd w:val="0"/>
        <w:snapToGrid w:val="0"/>
        <w:spacing w:line="560" w:lineRule="exact"/>
        <w:ind w:firstLine="640" w:firstLineChars="200"/>
      </w:pPr>
      <w:r>
        <w:rPr>
          <w:rFonts w:eastAsia="仿宋"/>
          <w:szCs w:val="32"/>
        </w:rPr>
        <w:t>全面梳理乌鲁木齐海关门户网站栏目，丰富各栏目信息内容。设置本关概况、新闻动态、信息公开、互联网+海关、交流互动等5类功能模块，内含图片新闻、办事指南、主题服务等15项、700余条内容，进一步更新完善各类动态信息90条，取消、归并、优化服务项目4项。及时更新门户网站“本关动态” “图片新闻”栏目，进一步规范字体、排版，统一美学风格。新增“海关业务常见问题”版块，对12360热线解答频率较高的问题，结合新疆实际，对行邮监管、货物监管、关税征管、加工贸易、跨境电商、知识产权保护等问题进行汇总、提炼、整理，形成常见问题解答80余条。严格按照时限要求，及时答复</w:t>
      </w:r>
      <w:r>
        <w:rPr>
          <w:kern w:val="0"/>
          <w:szCs w:val="32"/>
        </w:rPr>
        <w:t>网民的留言、业务咨询，提高群众的满意度。2019年，通过网站共回复网民留言及业务咨询108条。</w:t>
      </w:r>
    </w:p>
    <w:p>
      <w:pPr>
        <w:pStyle w:val="8"/>
        <w:autoSpaceDN w:val="0"/>
        <w:ind w:left="640" w:firstLine="0" w:firstLineChars="0"/>
        <w:jc w:val="left"/>
        <w:rPr>
          <w:rFonts w:eastAsia="黑体"/>
          <w:sz w:val="32"/>
          <w:szCs w:val="32"/>
        </w:rPr>
      </w:pPr>
      <w:r>
        <w:rPr>
          <w:rFonts w:hint="eastAsia" w:eastAsia="黑体"/>
          <w:sz w:val="32"/>
          <w:szCs w:val="32"/>
        </w:rPr>
        <w:t>（三）</w:t>
      </w:r>
      <w:r>
        <w:rPr>
          <w:rFonts w:eastAsia="黑体"/>
          <w:sz w:val="32"/>
          <w:szCs w:val="32"/>
        </w:rPr>
        <w:t>完善制度规范，提升工作规范化水平</w:t>
      </w:r>
    </w:p>
    <w:p>
      <w:pPr>
        <w:autoSpaceDN w:val="0"/>
        <w:ind w:firstLine="640" w:firstLineChars="200"/>
        <w:jc w:val="left"/>
        <w:rPr>
          <w:rFonts w:eastAsia="仿宋"/>
          <w:sz w:val="32"/>
          <w:szCs w:val="32"/>
        </w:rPr>
      </w:pPr>
      <w:r>
        <w:rPr>
          <w:rFonts w:eastAsia="仿宋"/>
          <w:sz w:val="32"/>
          <w:szCs w:val="32"/>
        </w:rPr>
        <w:t>组织关区相关工作人员认真学习《中华人民共和国政府信息公开条例》（以下简称《条例》），准确把握和理解《条例》的各项内容。结合关区实际，修订《乌鲁木齐海关政府信息工作规程》和《乌鲁木齐海关信息公开保密审查规程》，确保相关工作顺利开展。在2019年乌鲁木齐海关全员培训和乌鲁木齐海关办公室综合业务培训班等培训中，设置政务公开内容培训课程，进一步提高关员对政策理解的准确性，提高政务公开的意识和能力。</w:t>
      </w:r>
    </w:p>
    <w:p>
      <w:pPr>
        <w:autoSpaceDN w:val="0"/>
        <w:ind w:firstLine="640" w:firstLineChars="200"/>
        <w:jc w:val="left"/>
        <w:rPr>
          <w:rFonts w:eastAsia="仿宋"/>
          <w:sz w:val="32"/>
          <w:szCs w:val="32"/>
        </w:rPr>
      </w:pPr>
      <w:r>
        <w:rPr>
          <w:rFonts w:eastAsia="仿宋"/>
          <w:sz w:val="32"/>
          <w:szCs w:val="32"/>
        </w:rPr>
        <w:t xml:space="preserve"> 2020年，乌鲁木齐海关将在总署办公厅政务公开处的指导和帮助下，紧紧围绕《海关政务公开工作要点》，进一步夯实工作基础，拓展公开渠道，提升政务公开工作的质量和水平，切实增强人民群众的满意度和获得感，为推进法治政府建设做出积极地努力。</w:t>
      </w:r>
    </w:p>
    <w:p>
      <w:pPr>
        <w:pStyle w:val="5"/>
        <w:widowControl/>
        <w:shd w:val="clear" w:color="auto" w:fill="FFFFFF"/>
        <w:adjustRightInd w:val="0"/>
        <w:snapToGrid w:val="0"/>
        <w:spacing w:beforeAutospacing="0" w:afterAutospacing="0" w:line="400" w:lineRule="exact"/>
        <w:jc w:val="both"/>
        <w:rPr>
          <w:rFonts w:ascii="方正黑体_GBK" w:hAnsi="楷体_GB2312" w:eastAsia="方正黑体_GBK" w:cs="楷体_GB2312"/>
          <w:bCs/>
          <w:sz w:val="32"/>
          <w:szCs w:val="32"/>
          <w:shd w:val="clear" w:color="auto" w:fill="FFFFFF"/>
        </w:rPr>
      </w:pPr>
      <w:r>
        <w:rPr>
          <w:rFonts w:hint="eastAsia" w:ascii="方正黑体_GBK" w:hAnsi="楷体_GB2312" w:eastAsia="方正黑体_GBK" w:cs="楷体_GB2312"/>
          <w:bCs/>
          <w:sz w:val="32"/>
          <w:szCs w:val="32"/>
          <w:shd w:val="clear" w:color="auto" w:fill="FFFFFF"/>
        </w:rPr>
        <w:t xml:space="preserve">    二、主动公开政府信息情况</w:t>
      </w:r>
    </w:p>
    <w:tbl>
      <w:tblPr>
        <w:tblStyle w:val="6"/>
        <w:tblW w:w="10293" w:type="dxa"/>
        <w:jc w:val="center"/>
        <w:tblInd w:w="0" w:type="dxa"/>
        <w:tblLayout w:type="fixed"/>
        <w:tblCellMar>
          <w:top w:w="0" w:type="dxa"/>
          <w:left w:w="0" w:type="dxa"/>
          <w:bottom w:w="0" w:type="dxa"/>
          <w:right w:w="0" w:type="dxa"/>
        </w:tblCellMar>
      </w:tblPr>
      <w:tblGrid>
        <w:gridCol w:w="3113"/>
        <w:gridCol w:w="2183"/>
        <w:gridCol w:w="1551"/>
        <w:gridCol w:w="3446"/>
      </w:tblGrid>
      <w:tr>
        <w:tblPrEx>
          <w:tblLayout w:type="fixed"/>
          <w:tblCellMar>
            <w:top w:w="0" w:type="dxa"/>
            <w:left w:w="0" w:type="dxa"/>
            <w:bottom w:w="0" w:type="dxa"/>
            <w:right w:w="0" w:type="dxa"/>
          </w:tblCellMar>
        </w:tblPrEx>
        <w:trPr>
          <w:trHeight w:val="495" w:hRule="atLeast"/>
          <w:jc w:val="center"/>
        </w:trPr>
        <w:tc>
          <w:tcPr>
            <w:tcW w:w="10293" w:type="dxa"/>
            <w:gridSpan w:val="4"/>
            <w:tcBorders>
              <w:top w:val="single" w:color="auto" w:sz="8" w:space="0"/>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第二十条第（一）项</w:t>
            </w:r>
          </w:p>
        </w:tc>
      </w:tr>
      <w:tr>
        <w:tblPrEx>
          <w:tblLayout w:type="fixed"/>
          <w:tblCellMar>
            <w:top w:w="0" w:type="dxa"/>
            <w:left w:w="0" w:type="dxa"/>
            <w:bottom w:w="0" w:type="dxa"/>
            <w:right w:w="0"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信息内容</w:t>
            </w:r>
          </w:p>
        </w:tc>
        <w:tc>
          <w:tcPr>
            <w:tcW w:w="218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本年新</w:t>
            </w:r>
            <w:r>
              <w:rPr>
                <w:rFonts w:hint="eastAsia" w:ascii="宋体" w:hAnsi="宋体" w:cs="宋体"/>
                <w:kern w:val="0"/>
                <w:sz w:val="24"/>
                <w:szCs w:val="24"/>
              </w:rPr>
              <w:br w:type="textWrapping"/>
            </w:r>
            <w:r>
              <w:rPr>
                <w:kern w:val="0"/>
                <w:sz w:val="24"/>
                <w:szCs w:val="24"/>
              </w:rPr>
              <w:t>制作数量</w:t>
            </w:r>
          </w:p>
        </w:tc>
        <w:tc>
          <w:tcPr>
            <w:tcW w:w="155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本年新</w:t>
            </w:r>
            <w:r>
              <w:rPr>
                <w:rFonts w:hint="eastAsia" w:ascii="宋体" w:hAnsi="宋体" w:cs="宋体"/>
                <w:kern w:val="0"/>
                <w:sz w:val="24"/>
                <w:szCs w:val="24"/>
              </w:rPr>
              <w:br w:type="textWrapping"/>
            </w:r>
            <w:r>
              <w:rPr>
                <w:kern w:val="0"/>
                <w:sz w:val="24"/>
                <w:szCs w:val="24"/>
              </w:rPr>
              <w:t>公开数量</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对外公开总数量</w:t>
            </w:r>
          </w:p>
        </w:tc>
      </w:tr>
      <w:tr>
        <w:tblPrEx>
          <w:tblLayout w:type="fixed"/>
          <w:tblCellMar>
            <w:top w:w="0" w:type="dxa"/>
            <w:left w:w="0" w:type="dxa"/>
            <w:bottom w:w="0" w:type="dxa"/>
            <w:right w:w="0" w:type="dxa"/>
          </w:tblCellMar>
        </w:tblPrEx>
        <w:trPr>
          <w:trHeight w:val="272"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规章</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　　0</w:t>
            </w:r>
          </w:p>
        </w:tc>
        <w:tc>
          <w:tcPr>
            <w:tcW w:w="1551"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 0</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0</w:t>
            </w:r>
          </w:p>
        </w:tc>
      </w:tr>
      <w:tr>
        <w:tblPrEx>
          <w:tblLayout w:type="fixed"/>
          <w:tblCellMar>
            <w:top w:w="0" w:type="dxa"/>
            <w:left w:w="0" w:type="dxa"/>
            <w:bottom w:w="0" w:type="dxa"/>
            <w:right w:w="0"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规范性文件</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　　5</w:t>
            </w:r>
          </w:p>
        </w:tc>
        <w:tc>
          <w:tcPr>
            <w:tcW w:w="1551"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 5</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　7</w:t>
            </w:r>
          </w:p>
        </w:tc>
      </w:tr>
      <w:tr>
        <w:tblPrEx>
          <w:tblLayout w:type="fixed"/>
          <w:tblCellMar>
            <w:top w:w="0" w:type="dxa"/>
            <w:left w:w="0" w:type="dxa"/>
            <w:bottom w:w="0" w:type="dxa"/>
            <w:right w:w="0" w:type="dxa"/>
          </w:tblCellMar>
        </w:tblPrEx>
        <w:trPr>
          <w:trHeight w:val="480" w:hRule="atLeast"/>
          <w:jc w:val="center"/>
        </w:trPr>
        <w:tc>
          <w:tcPr>
            <w:tcW w:w="10293"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第二十条第（五）项</w:t>
            </w:r>
          </w:p>
        </w:tc>
      </w:tr>
      <w:tr>
        <w:tblPrEx>
          <w:tblLayout w:type="fixed"/>
          <w:tblCellMar>
            <w:top w:w="0" w:type="dxa"/>
            <w:left w:w="0" w:type="dxa"/>
            <w:bottom w:w="0" w:type="dxa"/>
            <w:right w:w="0" w:type="dxa"/>
          </w:tblCellMar>
        </w:tblPrEx>
        <w:trPr>
          <w:trHeight w:val="436"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信息内容</w:t>
            </w:r>
          </w:p>
        </w:tc>
        <w:tc>
          <w:tcPr>
            <w:tcW w:w="218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上一年项目数量</w:t>
            </w:r>
          </w:p>
        </w:tc>
        <w:tc>
          <w:tcPr>
            <w:tcW w:w="155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本年增/减</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处理决定数量</w:t>
            </w:r>
          </w:p>
        </w:tc>
      </w:tr>
      <w:tr>
        <w:tblPrEx>
          <w:tblLayout w:type="fixed"/>
          <w:tblCellMar>
            <w:top w:w="0" w:type="dxa"/>
            <w:left w:w="0" w:type="dxa"/>
            <w:bottom w:w="0" w:type="dxa"/>
            <w:right w:w="0" w:type="dxa"/>
          </w:tblCellMar>
        </w:tblPrEx>
        <w:trPr>
          <w:trHeight w:val="400"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行政许可</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　10</w:t>
            </w:r>
          </w:p>
        </w:tc>
        <w:tc>
          <w:tcPr>
            <w:tcW w:w="1551"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　增89</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　89</w:t>
            </w:r>
          </w:p>
        </w:tc>
      </w:tr>
      <w:tr>
        <w:tblPrEx>
          <w:tblLayout w:type="fixed"/>
          <w:tblCellMar>
            <w:top w:w="0" w:type="dxa"/>
            <w:left w:w="0" w:type="dxa"/>
            <w:bottom w:w="0" w:type="dxa"/>
            <w:right w:w="0" w:type="dxa"/>
          </w:tblCellMar>
        </w:tblPrEx>
        <w:trPr>
          <w:trHeight w:val="406" w:hRule="atLeast"/>
          <w:jc w:val="center"/>
        </w:trPr>
        <w:tc>
          <w:tcPr>
            <w:tcW w:w="10293"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第二十条第（六）项</w:t>
            </w:r>
          </w:p>
        </w:tc>
      </w:tr>
      <w:tr>
        <w:tblPrEx>
          <w:tblLayout w:type="fixed"/>
          <w:tblCellMar>
            <w:top w:w="0" w:type="dxa"/>
            <w:left w:w="0" w:type="dxa"/>
            <w:bottom w:w="0" w:type="dxa"/>
            <w:right w:w="0" w:type="dxa"/>
          </w:tblCellMar>
        </w:tblPrEx>
        <w:trPr>
          <w:trHeight w:val="447"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信息内容</w:t>
            </w:r>
          </w:p>
        </w:tc>
        <w:tc>
          <w:tcPr>
            <w:tcW w:w="2183"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上一年项目数量</w:t>
            </w:r>
          </w:p>
        </w:tc>
        <w:tc>
          <w:tcPr>
            <w:tcW w:w="1551"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本年增/减</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处理决定数量</w:t>
            </w:r>
          </w:p>
        </w:tc>
      </w:tr>
      <w:tr>
        <w:tblPrEx>
          <w:tblLayout w:type="fixed"/>
          <w:tblCellMar>
            <w:top w:w="0" w:type="dxa"/>
            <w:left w:w="0" w:type="dxa"/>
            <w:bottom w:w="0" w:type="dxa"/>
            <w:right w:w="0"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行政处罚</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　7</w:t>
            </w:r>
          </w:p>
        </w:tc>
        <w:tc>
          <w:tcPr>
            <w:tcW w:w="1551"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　增76</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　240</w:t>
            </w:r>
          </w:p>
        </w:tc>
      </w:tr>
      <w:tr>
        <w:tblPrEx>
          <w:tblLayout w:type="fixed"/>
          <w:tblCellMar>
            <w:top w:w="0" w:type="dxa"/>
            <w:left w:w="0" w:type="dxa"/>
            <w:bottom w:w="0" w:type="dxa"/>
            <w:right w:w="0"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行政强制</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16</w:t>
            </w:r>
          </w:p>
        </w:tc>
        <w:tc>
          <w:tcPr>
            <w:tcW w:w="1551"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　0</w:t>
            </w:r>
          </w:p>
        </w:tc>
        <w:tc>
          <w:tcPr>
            <w:tcW w:w="344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　0</w:t>
            </w:r>
          </w:p>
        </w:tc>
      </w:tr>
      <w:tr>
        <w:tblPrEx>
          <w:tblLayout w:type="fixed"/>
          <w:tblCellMar>
            <w:top w:w="0" w:type="dxa"/>
            <w:left w:w="0" w:type="dxa"/>
            <w:bottom w:w="0" w:type="dxa"/>
            <w:right w:w="0" w:type="dxa"/>
          </w:tblCellMar>
        </w:tblPrEx>
        <w:trPr>
          <w:trHeight w:val="474" w:hRule="atLeast"/>
          <w:jc w:val="center"/>
        </w:trPr>
        <w:tc>
          <w:tcPr>
            <w:tcW w:w="10293"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第二十条第（八）项</w:t>
            </w:r>
          </w:p>
        </w:tc>
      </w:tr>
      <w:tr>
        <w:tblPrEx>
          <w:tblLayout w:type="fixed"/>
          <w:tblCellMar>
            <w:top w:w="0" w:type="dxa"/>
            <w:left w:w="0" w:type="dxa"/>
            <w:bottom w:w="0" w:type="dxa"/>
            <w:right w:w="0"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信息内容</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上一年项目数量</w:t>
            </w:r>
          </w:p>
        </w:tc>
        <w:tc>
          <w:tcPr>
            <w:tcW w:w="4997" w:type="dxa"/>
            <w:gridSpan w:val="2"/>
            <w:tcBorders>
              <w:top w:val="single" w:color="auto" w:sz="8" w:space="0"/>
              <w:left w:val="nil"/>
              <w:bottom w:val="single" w:color="auto" w:sz="8" w:space="0"/>
              <w:right w:val="single" w:color="000000" w:sz="8" w:space="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本年增/减</w:t>
            </w:r>
          </w:p>
        </w:tc>
      </w:tr>
      <w:tr>
        <w:tblPrEx>
          <w:tblLayout w:type="fixed"/>
          <w:tblCellMar>
            <w:top w:w="0" w:type="dxa"/>
            <w:left w:w="0" w:type="dxa"/>
            <w:bottom w:w="0" w:type="dxa"/>
            <w:right w:w="0" w:type="dxa"/>
          </w:tblCellMar>
        </w:tblPrEx>
        <w:trPr>
          <w:trHeight w:val="347"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行政事业性收费</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　0</w:t>
            </w:r>
          </w:p>
        </w:tc>
        <w:tc>
          <w:tcPr>
            <w:tcW w:w="4997" w:type="dxa"/>
            <w:gridSpan w:val="2"/>
            <w:tcBorders>
              <w:top w:val="nil"/>
              <w:left w:val="nil"/>
              <w:bottom w:val="single" w:color="auto" w:sz="8" w:space="0"/>
              <w:right w:val="single" w:color="000000" w:sz="8" w:space="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0</w:t>
            </w:r>
          </w:p>
        </w:tc>
      </w:tr>
      <w:tr>
        <w:tblPrEx>
          <w:tblLayout w:type="fixed"/>
          <w:tblCellMar>
            <w:top w:w="0" w:type="dxa"/>
            <w:left w:w="0" w:type="dxa"/>
            <w:bottom w:w="0" w:type="dxa"/>
            <w:right w:w="0" w:type="dxa"/>
          </w:tblCellMar>
        </w:tblPrEx>
        <w:trPr>
          <w:trHeight w:val="476" w:hRule="atLeast"/>
          <w:jc w:val="center"/>
        </w:trPr>
        <w:tc>
          <w:tcPr>
            <w:tcW w:w="10293" w:type="dxa"/>
            <w:gridSpan w:val="4"/>
            <w:tcBorders>
              <w:top w:val="nil"/>
              <w:left w:val="single" w:color="auto" w:sz="8" w:space="0"/>
              <w:bottom w:val="single" w:color="auto" w:sz="8" w:space="0"/>
              <w:right w:val="single" w:color="auto" w:sz="8" w:space="0"/>
            </w:tcBorders>
            <w:shd w:val="clear" w:color="auto" w:fill="C6D9F1"/>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第二十条第（九）项</w:t>
            </w:r>
          </w:p>
        </w:tc>
      </w:tr>
      <w:tr>
        <w:tblPrEx>
          <w:tblLayout w:type="fixed"/>
          <w:tblCellMar>
            <w:top w:w="0" w:type="dxa"/>
            <w:left w:w="0" w:type="dxa"/>
            <w:bottom w:w="0" w:type="dxa"/>
            <w:right w:w="0" w:type="dxa"/>
          </w:tblCellMar>
        </w:tblPrEx>
        <w:trPr>
          <w:trHeight w:val="419"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信息内容</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采购项目数量</w:t>
            </w:r>
          </w:p>
        </w:tc>
        <w:tc>
          <w:tcPr>
            <w:tcW w:w="4997" w:type="dxa"/>
            <w:gridSpan w:val="2"/>
            <w:tcBorders>
              <w:top w:val="single" w:color="auto" w:sz="8" w:space="0"/>
              <w:left w:val="nil"/>
              <w:bottom w:val="single" w:color="auto" w:sz="8" w:space="0"/>
              <w:right w:val="single" w:color="000000" w:sz="8" w:space="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hint="eastAsia" w:ascii="宋体" w:hAnsi="宋体" w:cs="宋体"/>
                <w:kern w:val="0"/>
                <w:sz w:val="24"/>
                <w:szCs w:val="24"/>
              </w:rPr>
              <w:t>采购总金额</w:t>
            </w:r>
          </w:p>
        </w:tc>
      </w:tr>
      <w:tr>
        <w:tblPrEx>
          <w:tblLayout w:type="fixed"/>
          <w:tblCellMar>
            <w:top w:w="0" w:type="dxa"/>
            <w:left w:w="0" w:type="dxa"/>
            <w:bottom w:w="0" w:type="dxa"/>
            <w:right w:w="0"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政府集中采购</w:t>
            </w:r>
          </w:p>
        </w:tc>
        <w:tc>
          <w:tcPr>
            <w:tcW w:w="2183"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hint="eastAsia" w:ascii="宋体" w:hAnsi="宋体" w:cs="宋体"/>
                <w:kern w:val="0"/>
                <w:sz w:val="24"/>
                <w:szCs w:val="24"/>
              </w:rPr>
              <w:t>　97</w:t>
            </w:r>
          </w:p>
        </w:tc>
        <w:tc>
          <w:tcPr>
            <w:tcW w:w="4997" w:type="dxa"/>
            <w:gridSpan w:val="2"/>
            <w:tcBorders>
              <w:top w:val="nil"/>
              <w:left w:val="nil"/>
              <w:bottom w:val="single" w:color="auto" w:sz="8" w:space="0"/>
              <w:right w:val="single" w:color="000000" w:sz="8" w:space="0"/>
            </w:tcBorders>
            <w:shd w:val="clear" w:color="auto" w:fill="auto"/>
            <w:tcMar>
              <w:left w:w="108" w:type="dxa"/>
              <w:right w:w="108" w:type="dxa"/>
            </w:tcMar>
            <w:vAlign w:val="center"/>
          </w:tcPr>
          <w:p>
            <w:pPr>
              <w:adjustRightInd w:val="0"/>
              <w:snapToGrid w:val="0"/>
              <w:spacing w:line="260" w:lineRule="exact"/>
              <w:rPr>
                <w:rFonts w:ascii="宋体"/>
                <w:sz w:val="24"/>
                <w:szCs w:val="24"/>
              </w:rPr>
            </w:pPr>
            <w:r>
              <w:rPr>
                <w:rFonts w:hint="eastAsia" w:ascii="宋体"/>
                <w:sz w:val="24"/>
                <w:szCs w:val="24"/>
              </w:rPr>
              <w:t>6623万元</w:t>
            </w:r>
          </w:p>
        </w:tc>
      </w:tr>
    </w:tbl>
    <w:p>
      <w:pPr>
        <w:pStyle w:val="5"/>
        <w:widowControl/>
        <w:shd w:val="clear" w:color="auto" w:fill="FFFFFF"/>
        <w:spacing w:beforeAutospacing="0" w:afterAutospacing="0"/>
        <w:ind w:firstLine="420"/>
        <w:jc w:val="both"/>
        <w:rPr>
          <w:rFonts w:ascii="宋体" w:hAnsi="宋体" w:cs="宋体"/>
          <w:szCs w:val="24"/>
        </w:rPr>
      </w:pPr>
    </w:p>
    <w:p>
      <w:pPr>
        <w:pStyle w:val="5"/>
        <w:widowControl/>
        <w:shd w:val="clear" w:color="auto" w:fill="FFFFFF"/>
        <w:spacing w:beforeAutospacing="0" w:after="240" w:afterAutospacing="0"/>
        <w:ind w:firstLine="640" w:firstLineChars="200"/>
        <w:jc w:val="both"/>
        <w:rPr>
          <w:rFonts w:ascii="方正黑体_GBK" w:hAnsi="楷体_GB2312" w:eastAsia="方正黑体_GBK" w:cs="楷体_GB2312"/>
          <w:bCs/>
          <w:sz w:val="32"/>
          <w:szCs w:val="32"/>
          <w:shd w:val="clear" w:color="auto" w:fill="FFFFFF"/>
        </w:rPr>
      </w:pPr>
      <w:r>
        <w:rPr>
          <w:rFonts w:hint="eastAsia" w:ascii="方正黑体_GBK" w:hAnsi="楷体_GB2312" w:eastAsia="方正黑体_GBK" w:cs="楷体_GB2312"/>
          <w:bCs/>
          <w:sz w:val="32"/>
          <w:szCs w:val="32"/>
          <w:shd w:val="clear" w:color="auto" w:fill="FFFFFF"/>
        </w:rPr>
        <w:t>三、收到和处理政府信息公开申请情况</w:t>
      </w:r>
    </w:p>
    <w:tbl>
      <w:tblPr>
        <w:tblStyle w:val="6"/>
        <w:tblW w:w="907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302"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宋体" w:hAnsi="宋体" w:cs="宋体"/>
                <w:kern w:val="0"/>
                <w:sz w:val="20"/>
                <w:szCs w:val="20"/>
              </w:rPr>
              <w:t>（本列数据的勾稽关系为：第一项加第二项之和，等于第三项加第四项之和）</w:t>
            </w:r>
          </w:p>
        </w:tc>
        <w:tc>
          <w:tcPr>
            <w:tcW w:w="4769"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宋体" w:hAnsi="宋体" w:cs="宋体"/>
                <w:kern w:val="0"/>
                <w:sz w:val="20"/>
                <w:szCs w:val="2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302"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635"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宋体" w:hAnsi="宋体" w:cs="宋体"/>
                <w:kern w:val="0"/>
                <w:sz w:val="20"/>
                <w:szCs w:val="20"/>
              </w:rPr>
              <w:t>自然人</w:t>
            </w:r>
          </w:p>
        </w:tc>
        <w:tc>
          <w:tcPr>
            <w:tcW w:w="3452"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宋体" w:hAnsi="宋体" w:cs="宋体"/>
                <w:kern w:val="0"/>
                <w:sz w:val="20"/>
                <w:szCs w:val="20"/>
              </w:rPr>
              <w:t>法人或其他组织</w:t>
            </w:r>
          </w:p>
        </w:tc>
        <w:tc>
          <w:tcPr>
            <w:tcW w:w="682"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宋体" w:hAnsi="宋体" w:cs="宋体"/>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302"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635"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宋体" w:hAnsi="宋体" w:cs="宋体"/>
                <w:kern w:val="0"/>
                <w:sz w:val="20"/>
                <w:szCs w:val="20"/>
              </w:rPr>
              <w:t>商业企业</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宋体" w:hAnsi="宋体" w:cs="宋体"/>
                <w:kern w:val="0"/>
                <w:sz w:val="20"/>
                <w:szCs w:val="20"/>
              </w:rPr>
              <w:t>科研机构</w:t>
            </w:r>
          </w:p>
        </w:tc>
        <w:tc>
          <w:tcPr>
            <w:tcW w:w="76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宋体" w:hAnsi="宋体" w:cs="宋体"/>
                <w:kern w:val="0"/>
                <w:sz w:val="20"/>
                <w:szCs w:val="20"/>
              </w:rPr>
              <w:t>社会公益组织</w:t>
            </w:r>
          </w:p>
        </w:tc>
        <w:tc>
          <w:tcPr>
            <w:tcW w:w="76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宋体" w:hAnsi="宋体" w:cs="宋体"/>
                <w:kern w:val="0"/>
                <w:sz w:val="20"/>
                <w:szCs w:val="20"/>
              </w:rPr>
              <w:t>法律服务机构</w:t>
            </w:r>
          </w:p>
        </w:tc>
        <w:tc>
          <w:tcPr>
            <w:tcW w:w="49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宋体" w:hAnsi="宋体" w:cs="宋体"/>
                <w:kern w:val="0"/>
                <w:sz w:val="20"/>
                <w:szCs w:val="20"/>
              </w:rPr>
              <w:t>其他</w:t>
            </w:r>
          </w:p>
        </w:tc>
        <w:tc>
          <w:tcPr>
            <w:tcW w:w="682"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302"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tcPr>
          <w:p>
            <w:pPr>
              <w:widowControl/>
              <w:spacing w:after="180"/>
              <w:jc w:val="left"/>
              <w:rPr>
                <w:sz w:val="24"/>
                <w:szCs w:val="24"/>
              </w:rPr>
            </w:pPr>
            <w:r>
              <w:rPr>
                <w:rFonts w:hint="eastAsia" w:ascii="宋体" w:hAnsi="宋体" w:cs="宋体"/>
                <w:kern w:val="0"/>
                <w:sz w:val="24"/>
                <w:szCs w:val="24"/>
              </w:rPr>
              <w:t>一、本年新收政府信息公开申请数量</w:t>
            </w:r>
          </w:p>
        </w:tc>
        <w:tc>
          <w:tcPr>
            <w:tcW w:w="635"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jc w:val="left"/>
            </w:pPr>
            <w:r>
              <w:rPr>
                <w:rFonts w:ascii="Calibri" w:hAnsi="Calibri" w:cs="Calibri"/>
                <w:kern w:val="0"/>
                <w:sz w:val="20"/>
                <w:szCs w:val="20"/>
              </w:rPr>
              <w:t> </w:t>
            </w:r>
            <w:r>
              <w:rPr>
                <w:rFonts w:hint="eastAsia" w:ascii="Calibri" w:hAnsi="Calibri" w:cs="Calibri"/>
                <w:kern w:val="0"/>
                <w:sz w:val="20"/>
                <w:szCs w:val="20"/>
              </w:rPr>
              <w:t>8</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jc w:val="left"/>
            </w:pPr>
            <w:r>
              <w:rPr>
                <w:rFonts w:ascii="Calibri" w:hAnsi="Calibri" w:cs="Calibri"/>
                <w:kern w:val="0"/>
                <w:sz w:val="20"/>
                <w:szCs w:val="20"/>
              </w:rPr>
              <w:t> </w:t>
            </w:r>
            <w:r>
              <w:rPr>
                <w:rFonts w:hint="eastAsia" w:ascii="Calibri" w:hAnsi="Calibri" w:cs="Calibri"/>
                <w:kern w:val="0"/>
                <w:sz w:val="20"/>
                <w:szCs w:val="20"/>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302"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tcPr>
          <w:p>
            <w:pPr>
              <w:widowControl/>
              <w:spacing w:after="180"/>
              <w:jc w:val="left"/>
              <w:rPr>
                <w:sz w:val="24"/>
                <w:szCs w:val="24"/>
              </w:rPr>
            </w:pPr>
            <w:r>
              <w:rPr>
                <w:rFonts w:hint="eastAsia" w:ascii="宋体" w:hAnsi="宋体" w:cs="宋体"/>
                <w:kern w:val="0"/>
                <w:sz w:val="24"/>
                <w:szCs w:val="24"/>
              </w:rPr>
              <w:t>二、上年结转政府信息公开申请数量</w:t>
            </w:r>
          </w:p>
        </w:tc>
        <w:tc>
          <w:tcPr>
            <w:tcW w:w="635"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jc w:val="left"/>
            </w:pPr>
            <w:r>
              <w:rPr>
                <w:rFonts w:ascii="Calibri" w:hAnsi="Calibri" w:cs="Calibri"/>
                <w:kern w:val="0"/>
                <w:sz w:val="20"/>
                <w:szCs w:val="20"/>
              </w:rPr>
              <w:t> </w:t>
            </w:r>
            <w:r>
              <w:rPr>
                <w:rFonts w:hint="eastAsia" w:ascii="Calibri" w:hAnsi="Calibri" w:cs="Calibri"/>
                <w:kern w:val="0"/>
                <w:sz w:val="20"/>
                <w:szCs w:val="20"/>
              </w:rPr>
              <w:t>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tcPr>
          <w:p>
            <w:pPr>
              <w:widowControl/>
              <w:spacing w:after="180"/>
              <w:jc w:val="left"/>
            </w:pPr>
            <w:r>
              <w:rPr>
                <w:rFonts w:ascii="Calibri" w:hAnsi="Calibri" w:cs="Calibri"/>
                <w:kern w:val="0"/>
                <w:sz w:val="20"/>
                <w:szCs w:val="20"/>
              </w:rPr>
              <w:t> </w:t>
            </w:r>
            <w:r>
              <w:rPr>
                <w:rFonts w:hint="eastAsia" w:ascii="Calibri" w:hAnsi="Calibri" w:cs="Calibri"/>
                <w:kern w:val="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三、本年度办理结果</w:t>
            </w:r>
          </w:p>
        </w:tc>
        <w:tc>
          <w:tcPr>
            <w:tcW w:w="360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ascii="楷体" w:hAnsi="楷体" w:eastAsia="楷体" w:cs="楷体"/>
                <w:kern w:val="0"/>
                <w:sz w:val="24"/>
                <w:szCs w:val="24"/>
              </w:rPr>
              <w:t>（一）予以公开</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rPr>
              <w:t>1</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360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（二）部分公开（区分处理的，只计这一情形，不计其他情形）</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93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（三）不予公开</w:t>
            </w: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1.属于国家秘密</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2.其他法律行政法规禁止公开</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3.危及“三安全一稳定”</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4.保护第三方合法权益</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5.属于三类内部事务信息</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4"/>
                <w:szCs w:val="24"/>
              </w:rPr>
              <w:t>2</w:t>
            </w:r>
            <w:r>
              <w:rPr>
                <w:rFonts w:ascii="Calibri" w:hAnsi="Calibri" w:cs="Calibri"/>
                <w:kern w:val="0"/>
                <w:sz w:val="24"/>
                <w:szCs w:val="24"/>
              </w:rPr>
              <w:t> </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4"/>
                <w:szCs w:val="24"/>
              </w:rPr>
              <w:t>2</w:t>
            </w:r>
            <w:r>
              <w:rPr>
                <w:rFonts w:ascii="Calibri" w:hAnsi="Calibri" w:cs="Calibri"/>
                <w:kern w:val="0"/>
                <w:sz w:val="24"/>
                <w:szCs w:val="24"/>
              </w:rPr>
              <w:t> </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6.属于四类过程性信息</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7.属于行政执法案卷</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8.属于行政查询事项</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93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（四）无法提供</w:t>
            </w: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1.本机关不掌握相关政府信息</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4"/>
                <w:szCs w:val="24"/>
              </w:rPr>
              <w:t>2</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2.没有现成信息需要另行制作</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rPr>
              <w:t>1</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3.补正后申请内容仍不明确</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bookmarkStart w:id="1" w:name="_GoBack" w:colFirst="4" w:colLast="8"/>
          </w:p>
        </w:tc>
        <w:tc>
          <w:tcPr>
            <w:tcW w:w="93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（五）不予处理</w:t>
            </w: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1.信访举报投诉类申请</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rPr>
              <w:t>1</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4"/>
                <w:szCs w:val="24"/>
              </w:rPr>
              <w:t>1</w:t>
            </w:r>
            <w:r>
              <w:rPr>
                <w:rFonts w:ascii="Calibri" w:hAnsi="Calibri" w:cs="Calibri"/>
                <w:kern w:val="0"/>
                <w:sz w:val="24"/>
                <w:szCs w:val="24"/>
              </w:rPr>
              <w:t> </w:t>
            </w:r>
          </w:p>
        </w:tc>
      </w:tr>
      <w:bookmarkEnd w:id="1"/>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2.重复申请</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3.要求提供公开出版物</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4.无正当理由大量反复申请</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93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267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5.要求行政机关确认或重新出具已获取信息</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eastAsia="宋体"/>
                <w:sz w:val="24"/>
                <w:szCs w:val="24"/>
                <w:lang w:val="en-US" w:eastAsia="zh-CN"/>
              </w:rPr>
            </w:pPr>
            <w:r>
              <w:rPr>
                <w:rFonts w:ascii="Calibri" w:hAnsi="Calibri" w:cs="Calibri"/>
                <w:kern w:val="0"/>
                <w:sz w:val="24"/>
                <w:szCs w:val="24"/>
              </w:rPr>
              <w:t> </w:t>
            </w:r>
            <w:r>
              <w:rPr>
                <w:rFonts w:hint="eastAsia" w:ascii="Calibri" w:hAnsi="Calibri" w:cs="Calibri"/>
                <w:kern w:val="0"/>
                <w:sz w:val="24"/>
                <w:szCs w:val="24"/>
                <w:lang w:val="en-US" w:eastAsia="zh-CN"/>
              </w:rPr>
              <w:t>0</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eastAsia="宋体"/>
                <w:sz w:val="24"/>
                <w:szCs w:val="24"/>
                <w:lang w:val="en-US" w:eastAsia="zh-CN"/>
              </w:rPr>
            </w:pPr>
            <w:r>
              <w:rPr>
                <w:rFonts w:ascii="Calibri" w:hAnsi="Calibri" w:cs="Calibri"/>
                <w:kern w:val="0"/>
                <w:sz w:val="24"/>
                <w:szCs w:val="24"/>
              </w:rPr>
              <w:t> </w:t>
            </w:r>
            <w:r>
              <w:rPr>
                <w:rFonts w:hint="eastAsia" w:ascii="Calibri" w:hAnsi="Calibri" w:cs="Calibri"/>
                <w:kern w:val="0"/>
                <w:sz w:val="24"/>
                <w:szCs w:val="24"/>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360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（六）其他处理</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rPr>
              <w:t>1</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9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360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left"/>
              <w:rPr>
                <w:sz w:val="24"/>
                <w:szCs w:val="24"/>
              </w:rPr>
            </w:pPr>
            <w:r>
              <w:rPr>
                <w:rFonts w:hint="eastAsia" w:ascii="楷体" w:hAnsi="楷体" w:eastAsia="楷体" w:cs="楷体"/>
                <w:kern w:val="0"/>
                <w:sz w:val="24"/>
                <w:szCs w:val="24"/>
              </w:rPr>
              <w:t>（七）总计</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eastAsia="宋体"/>
                <w:sz w:val="24"/>
                <w:szCs w:val="24"/>
                <w:lang w:eastAsia="zh-CN"/>
              </w:rPr>
            </w:pPr>
            <w:r>
              <w:rPr>
                <w:rFonts w:hint="eastAsia" w:ascii="Calibri" w:hAnsi="Calibri" w:cs="Calibri"/>
                <w:kern w:val="0"/>
                <w:sz w:val="24"/>
                <w:szCs w:val="24"/>
                <w:lang w:val="en-US" w:eastAsia="zh-CN"/>
              </w:rPr>
              <w:t>8</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eastAsia="宋体"/>
                <w:sz w:val="24"/>
                <w:szCs w:val="24"/>
                <w:lang w:val="en-US" w:eastAsia="zh-CN"/>
              </w:rP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eastAsia="宋体"/>
                <w:sz w:val="24"/>
                <w:szCs w:val="24"/>
                <w:lang w:eastAsia="zh-CN"/>
              </w:rPr>
            </w:pPr>
            <w:r>
              <w:rPr>
                <w:rFonts w:ascii="Calibri" w:hAnsi="Calibri" w:cs="Calibri"/>
                <w:kern w:val="0"/>
                <w:sz w:val="24"/>
                <w:szCs w:val="24"/>
              </w:rPr>
              <w:t> </w:t>
            </w:r>
            <w:r>
              <w:rPr>
                <w:rFonts w:hint="eastAsia" w:ascii="Calibri" w:hAnsi="Calibri" w:cs="Calibri"/>
                <w:kern w:val="0"/>
                <w:sz w:val="24"/>
                <w:szCs w:val="24"/>
                <w:lang w:val="en-US" w:eastAsia="zh-CN"/>
              </w:rPr>
              <w:t>8</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4302"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left"/>
            </w:pPr>
            <w:r>
              <w:rPr>
                <w:rFonts w:hint="eastAsia" w:ascii="宋体" w:hAnsi="宋体" w:cs="宋体"/>
                <w:kern w:val="0"/>
                <w:sz w:val="24"/>
                <w:szCs w:val="24"/>
              </w:rPr>
              <w:t>四、结转下年度继续办理</w:t>
            </w:r>
          </w:p>
        </w:tc>
        <w:tc>
          <w:tcPr>
            <w:tcW w:w="63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Calibri" w:hAnsi="Calibri" w:cs="Calibri"/>
                <w:kern w:val="0"/>
                <w:sz w:val="20"/>
                <w:szCs w:val="20"/>
              </w:rPr>
              <w:t>0</w:t>
            </w:r>
            <w:r>
              <w:rPr>
                <w:rFonts w:ascii="Calibri" w:hAnsi="Calibri" w:cs="Calibri"/>
                <w:kern w:val="0"/>
                <w:sz w:val="20"/>
                <w:szCs w:val="20"/>
              </w:rPr>
              <w:t> </w:t>
            </w:r>
          </w:p>
        </w:tc>
        <w:tc>
          <w:tcPr>
            <w:tcW w:w="67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Calibri" w:hAnsi="Calibri" w:cs="Calibri"/>
                <w:kern w:val="0"/>
                <w:sz w:val="20"/>
                <w:szCs w:val="20"/>
              </w:rPr>
              <w:t>0</w:t>
            </w:r>
            <w:r>
              <w:rPr>
                <w:rFonts w:ascii="Calibri" w:hAnsi="Calibri" w:cs="Calibri"/>
                <w:kern w:val="0"/>
                <w:sz w:val="20"/>
                <w:szCs w:val="20"/>
              </w:rPr>
              <w:t> </w:t>
            </w:r>
          </w:p>
        </w:tc>
        <w:tc>
          <w:tcPr>
            <w:tcW w:w="7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ascii="Calibri" w:hAnsi="Calibri" w:cs="Calibri"/>
                <w:kern w:val="0"/>
                <w:sz w:val="20"/>
                <w:szCs w:val="20"/>
              </w:rPr>
              <w:t> </w:t>
            </w:r>
            <w:r>
              <w:rPr>
                <w:rFonts w:hint="eastAsia" w:ascii="Calibri" w:hAnsi="Calibri" w:cs="Calibri"/>
                <w:kern w:val="0"/>
                <w:sz w:val="20"/>
                <w:szCs w:val="20"/>
              </w:rPr>
              <w:t>0</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Calibri" w:hAnsi="Calibri" w:cs="Calibri"/>
                <w:kern w:val="0"/>
                <w:sz w:val="20"/>
                <w:szCs w:val="20"/>
              </w:rPr>
              <w:t>0</w:t>
            </w:r>
            <w:r>
              <w:rPr>
                <w:rFonts w:ascii="Calibri" w:hAnsi="Calibri" w:cs="Calibri"/>
                <w:kern w:val="0"/>
                <w:sz w:val="20"/>
                <w:szCs w:val="20"/>
              </w:rPr>
              <w:t> </w:t>
            </w:r>
          </w:p>
        </w:tc>
        <w:tc>
          <w:tcPr>
            <w:tcW w:w="76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hint="eastAsia" w:ascii="Calibri" w:hAnsi="Calibri" w:cs="Calibri"/>
                <w:kern w:val="0"/>
                <w:sz w:val="20"/>
                <w:szCs w:val="20"/>
              </w:rPr>
              <w:t>0</w:t>
            </w:r>
            <w:r>
              <w:rPr>
                <w:rFonts w:ascii="Calibri" w:hAnsi="Calibri" w:cs="Calibri"/>
                <w:kern w:val="0"/>
                <w:sz w:val="20"/>
                <w:szCs w:val="20"/>
              </w:rPr>
              <w:t> </w:t>
            </w:r>
          </w:p>
        </w:tc>
        <w:tc>
          <w:tcPr>
            <w:tcW w:w="497"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pPr>
            <w:r>
              <w:rPr>
                <w:rFonts w:ascii="Calibri" w:hAnsi="Calibri" w:cs="Calibri"/>
                <w:kern w:val="0"/>
                <w:sz w:val="20"/>
                <w:szCs w:val="20"/>
              </w:rPr>
              <w:t> </w:t>
            </w:r>
            <w:r>
              <w:rPr>
                <w:rFonts w:hint="eastAsia" w:ascii="Calibri" w:hAnsi="Calibri" w:cs="Calibri"/>
                <w:kern w:val="0"/>
                <w:sz w:val="20"/>
                <w:szCs w:val="20"/>
              </w:rPr>
              <w:t>0</w:t>
            </w:r>
          </w:p>
        </w:tc>
        <w:tc>
          <w:tcPr>
            <w:tcW w:w="682"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r>
              <w:rPr>
                <w:rFonts w:hint="eastAsia" w:ascii="宋体"/>
                <w:sz w:val="24"/>
                <w:szCs w:val="24"/>
              </w:rPr>
              <w:t>0</w:t>
            </w:r>
          </w:p>
        </w:tc>
      </w:tr>
    </w:tbl>
    <w:p>
      <w:pPr>
        <w:pStyle w:val="5"/>
        <w:widowControl/>
        <w:shd w:val="clear" w:color="auto" w:fill="FFFFFF"/>
        <w:spacing w:beforeAutospacing="0" w:afterAutospacing="0"/>
        <w:jc w:val="both"/>
        <w:rPr>
          <w:rFonts w:ascii="楷体_GB2312" w:hAnsi="楷体_GB2312" w:eastAsia="楷体_GB2312" w:cs="楷体_GB2312"/>
          <w:bCs/>
          <w:sz w:val="32"/>
          <w:szCs w:val="32"/>
          <w:shd w:val="clear" w:color="auto" w:fill="FFFFFF"/>
        </w:rPr>
      </w:pPr>
    </w:p>
    <w:p>
      <w:pPr>
        <w:pStyle w:val="5"/>
        <w:widowControl/>
        <w:shd w:val="clear" w:color="auto" w:fill="FFFFFF"/>
        <w:spacing w:beforeAutospacing="0" w:after="240" w:afterAutospacing="0"/>
        <w:ind w:firstLine="640" w:firstLineChars="200"/>
        <w:jc w:val="both"/>
        <w:rPr>
          <w:rFonts w:ascii="宋体" w:hAnsi="宋体" w:cs="宋体"/>
          <w:szCs w:val="24"/>
        </w:rPr>
      </w:pPr>
      <w:r>
        <w:rPr>
          <w:rFonts w:hint="eastAsia" w:ascii="方正黑体_GBK" w:hAnsi="楷体_GB2312" w:eastAsia="方正黑体_GBK" w:cs="楷体_GB2312"/>
          <w:bCs/>
          <w:sz w:val="32"/>
          <w:szCs w:val="32"/>
          <w:shd w:val="clear" w:color="auto" w:fill="FFFFFF"/>
        </w:rPr>
        <w:t>四、政府信息公开行政复议、行政诉讼情况</w:t>
      </w:r>
    </w:p>
    <w:tbl>
      <w:tblPr>
        <w:tblStyle w:val="6"/>
        <w:tblW w:w="9071" w:type="dxa"/>
        <w:jc w:val="center"/>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结果维持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尚未审结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总计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其他结果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尚未审结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其他结果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4"/>
                <w:szCs w:val="24"/>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ascii="Calibri" w:hAnsi="Calibri" w:cs="Calibri"/>
                <w:kern w:val="0"/>
                <w:sz w:val="24"/>
                <w:szCs w:val="24"/>
              </w:rPr>
              <w:t> </w:t>
            </w:r>
            <w:r>
              <w:rPr>
                <w:rFonts w:hint="eastAsia" w:ascii="Calibri" w:hAnsi="Calibri" w:cs="Calibri"/>
                <w:kern w:val="0"/>
                <w:sz w:val="24"/>
                <w:szCs w:val="24"/>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Calibri" w:hAnsi="Calibri" w:cs="Calibri"/>
                <w:kern w:val="0"/>
                <w:sz w:val="24"/>
                <w:szCs w:val="24"/>
              </w:rPr>
              <w:t>0</w:t>
            </w:r>
            <w:r>
              <w:rPr>
                <w:rFonts w:ascii="Calibri" w:hAnsi="Calibri" w:cs="Calibri"/>
                <w:kern w:val="0"/>
                <w:sz w:val="24"/>
                <w:szCs w:val="24"/>
              </w:rPr>
              <w:t> </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 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0 </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0 </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sz w:val="24"/>
                <w:szCs w:val="24"/>
              </w:rPr>
            </w:pPr>
            <w:r>
              <w:rPr>
                <w:rFonts w:hint="eastAsia" w:ascii="宋体" w:hAnsi="宋体" w:cs="宋体"/>
                <w:kern w:val="0"/>
                <w:sz w:val="24"/>
                <w:szCs w:val="24"/>
              </w:rPr>
              <w:t> 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宋体"/>
                <w:sz w:val="24"/>
                <w:szCs w:val="24"/>
              </w:rPr>
            </w:pPr>
            <w:r>
              <w:rPr>
                <w:rFonts w:hint="eastAsia" w:ascii="宋体"/>
                <w:sz w:val="24"/>
                <w:szCs w:val="24"/>
              </w:rPr>
              <w:t>0</w:t>
            </w:r>
          </w:p>
        </w:tc>
      </w:tr>
    </w:tbl>
    <w:p>
      <w:pPr>
        <w:widowControl/>
        <w:shd w:val="clear" w:color="auto" w:fill="FFFFFF"/>
        <w:jc w:val="center"/>
        <w:rPr>
          <w:rFonts w:ascii="宋体" w:hAnsi="宋体" w:cs="宋体"/>
          <w:sz w:val="24"/>
          <w:szCs w:val="24"/>
        </w:rPr>
      </w:pPr>
    </w:p>
    <w:p>
      <w:pPr>
        <w:pStyle w:val="5"/>
        <w:widowControl/>
        <w:shd w:val="clear" w:color="auto" w:fill="FFFFFF"/>
        <w:spacing w:beforeAutospacing="0" w:after="240" w:afterAutospacing="0"/>
        <w:ind w:firstLine="640" w:firstLineChars="200"/>
        <w:jc w:val="both"/>
        <w:rPr>
          <w:rFonts w:ascii="方正黑体_GBK" w:hAnsi="楷体_GB2312" w:eastAsia="方正黑体_GBK" w:cs="楷体_GB2312"/>
          <w:bCs/>
          <w:sz w:val="32"/>
          <w:szCs w:val="32"/>
          <w:shd w:val="clear" w:color="auto" w:fill="FFFFFF"/>
        </w:rPr>
      </w:pPr>
      <w:r>
        <w:rPr>
          <w:rFonts w:hint="eastAsia" w:ascii="方正黑体_GBK" w:hAnsi="楷体_GB2312" w:eastAsia="方正黑体_GBK" w:cs="楷体_GB2312"/>
          <w:bCs/>
          <w:sz w:val="32"/>
          <w:szCs w:val="32"/>
          <w:shd w:val="clear" w:color="auto" w:fill="FFFFFF"/>
        </w:rPr>
        <w:t>五、存在的主要问题及改进情况</w:t>
      </w:r>
    </w:p>
    <w:p>
      <w:pPr>
        <w:pStyle w:val="5"/>
        <w:widowControl/>
        <w:shd w:val="clear" w:color="auto" w:fill="FFFFFF"/>
        <w:spacing w:beforeAutospacing="0" w:afterAutospacing="0"/>
        <w:ind w:firstLine="640" w:firstLineChars="200"/>
        <w:jc w:val="both"/>
        <w:rPr>
          <w:rFonts w:ascii="方正仿宋_GBK" w:hAnsi="楷体_GB2312" w:eastAsia="方正仿宋_GBK" w:cs="楷体_GB2312"/>
          <w:bCs/>
          <w:sz w:val="32"/>
          <w:szCs w:val="32"/>
          <w:shd w:val="clear" w:color="auto" w:fill="FFFFFF"/>
        </w:rPr>
      </w:pPr>
      <w:r>
        <w:rPr>
          <w:rFonts w:hint="eastAsia" w:ascii="方正仿宋_GBK" w:hAnsi="楷体_GB2312" w:eastAsia="方正仿宋_GBK" w:cs="楷体_GB2312"/>
          <w:bCs/>
          <w:sz w:val="32"/>
          <w:szCs w:val="32"/>
          <w:shd w:val="clear" w:color="auto" w:fill="FFFFFF"/>
        </w:rPr>
        <w:t>2019年，我关根据《中华人民共和国政府信息公开条例》《中华人民共和国海关政府信息公开办法》的规定和海关总署相关文件要求，结合关区实际，创新信息公开方式，关区政务公开工作稳步推进，但加强政策解读以及网站互动性、实用性等方面的工作有待进一步加强。</w:t>
      </w:r>
    </w:p>
    <w:p>
      <w:pPr>
        <w:pStyle w:val="5"/>
        <w:widowControl/>
        <w:shd w:val="clear" w:color="auto" w:fill="FFFFFF"/>
        <w:spacing w:beforeAutospacing="0" w:afterAutospacing="0"/>
        <w:ind w:firstLine="640" w:firstLineChars="200"/>
        <w:jc w:val="both"/>
        <w:rPr>
          <w:rFonts w:ascii="方正仿宋_GBK" w:hAnsi="楷体_GB2312" w:eastAsia="方正仿宋_GBK" w:cs="楷体_GB2312"/>
          <w:bCs/>
          <w:sz w:val="32"/>
          <w:szCs w:val="32"/>
          <w:shd w:val="clear" w:color="auto" w:fill="FFFFFF"/>
        </w:rPr>
      </w:pPr>
      <w:r>
        <w:rPr>
          <w:rFonts w:hint="eastAsia" w:ascii="方正仿宋_GBK" w:hAnsi="楷体_GB2312" w:eastAsia="方正仿宋_GBK" w:cs="楷体_GB2312"/>
          <w:bCs/>
          <w:sz w:val="32"/>
          <w:szCs w:val="32"/>
          <w:shd w:val="clear" w:color="auto" w:fill="FFFFFF"/>
        </w:rPr>
        <w:t>2020年，我关将重点做好以下工作：一是认真贯彻落实总署各项工作要求，继续推进决策、执行、管理、服务、结果公开；二是稳定门户网站信息更新频率，坚持以公开为常态、不公开为例外；三是修订相关制度，把好内容发布审核关，进一步提高信息公开服务水平。</w:t>
      </w:r>
    </w:p>
    <w:p>
      <w:pPr>
        <w:spacing w:line="560" w:lineRule="exact"/>
        <w:ind w:left="560"/>
        <w:rPr>
          <w:rFonts w:ascii="方正仿宋_GBK" w:hAnsi="方正仿宋_GBK" w:eastAsia="方正仿宋_GBK" w:cs="方正仿宋_GBK"/>
          <w:sz w:val="32"/>
          <w:szCs w:val="32"/>
        </w:rPr>
      </w:pPr>
    </w:p>
    <w:p>
      <w:pPr>
        <w:pStyle w:val="5"/>
        <w:widowControl/>
        <w:shd w:val="clear" w:color="auto" w:fill="FFFFFF"/>
        <w:spacing w:beforeAutospacing="0" w:after="240" w:afterAutospacing="0"/>
        <w:ind w:firstLine="640" w:firstLineChars="200"/>
        <w:jc w:val="both"/>
        <w:rPr>
          <w:rFonts w:ascii="方正黑体_GBK" w:hAnsi="楷体_GB2312" w:eastAsia="方正黑体_GBK" w:cs="楷体_GB2312"/>
          <w:bCs/>
          <w:sz w:val="32"/>
          <w:szCs w:val="32"/>
          <w:shd w:val="clear" w:color="auto" w:fill="FFFFFF"/>
        </w:rPr>
      </w:pPr>
      <w:r>
        <w:rPr>
          <w:rFonts w:hint="eastAsia" w:ascii="方正黑体_GBK" w:hAnsi="楷体_GB2312" w:eastAsia="方正黑体_GBK" w:cs="楷体_GB2312"/>
          <w:bCs/>
          <w:sz w:val="32"/>
          <w:szCs w:val="32"/>
          <w:shd w:val="clear" w:color="auto" w:fill="FFFFFF"/>
        </w:rPr>
        <w:t>六、其他需要报告的相关情况</w:t>
      </w:r>
    </w:p>
    <w:p>
      <w:r>
        <w:rPr>
          <w:rFonts w:hint="eastAsia"/>
        </w:rPr>
        <w:t>无</w:t>
      </w:r>
    </w:p>
    <w:sectPr>
      <w:footerReference r:id="rId3" w:type="default"/>
      <w:footerReference r:id="rId4" w:type="even"/>
      <w:pgSz w:w="11906" w:h="16838"/>
      <w:pgMar w:top="2098" w:right="1474" w:bottom="1871" w:left="1588" w:header="851" w:footer="992" w:gutter="0"/>
      <w:cols w:space="425" w:num="1"/>
      <w:titlePg/>
      <w:docGrid w:type="lines" w:linePitch="40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8458650"/>
    </w:sdtPr>
    <w:sdtContent>
      <w:p>
        <w:pPr>
          <w:pStyle w:val="3"/>
          <w:jc w:val="right"/>
        </w:pPr>
        <w:r>
          <w:rPr>
            <w:rFonts w:hint="eastAsia" w:ascii="仿宋_GB2312" w:eastAsia="仿宋_GB2312"/>
            <w:sz w:val="30"/>
            <w:szCs w:val="30"/>
          </w:rPr>
          <w:t>—</w:t>
        </w:r>
        <w:r>
          <w:rPr>
            <w:rFonts w:hint="eastAsia" w:ascii="仿宋_GB2312" w:eastAsia="仿宋_GB2312"/>
            <w:sz w:val="30"/>
            <w:szCs w:val="30"/>
          </w:rPr>
          <w:fldChar w:fldCharType="begin"/>
        </w:r>
        <w:r>
          <w:rPr>
            <w:rFonts w:hint="eastAsia" w:ascii="仿宋_GB2312" w:eastAsia="仿宋_GB2312"/>
            <w:sz w:val="30"/>
            <w:szCs w:val="30"/>
          </w:rPr>
          <w:instrText xml:space="preserve"> PAGE   \* MERGEFORMAT </w:instrText>
        </w:r>
        <w:r>
          <w:rPr>
            <w:rFonts w:hint="eastAsia" w:ascii="仿宋_GB2312" w:eastAsia="仿宋_GB2312"/>
            <w:sz w:val="30"/>
            <w:szCs w:val="30"/>
          </w:rPr>
          <w:fldChar w:fldCharType="separate"/>
        </w:r>
        <w:r>
          <w:rPr>
            <w:rFonts w:ascii="仿宋_GB2312" w:eastAsia="仿宋_GB2312"/>
            <w:sz w:val="30"/>
            <w:szCs w:val="30"/>
            <w:lang w:val="zh-CN"/>
          </w:rPr>
          <w:t>7</w:t>
        </w:r>
        <w:r>
          <w:rPr>
            <w:rFonts w:hint="eastAsia" w:ascii="仿宋_GB2312" w:eastAsia="仿宋_GB2312"/>
            <w:sz w:val="30"/>
            <w:szCs w:val="30"/>
          </w:rPr>
          <w:fldChar w:fldCharType="end"/>
        </w:r>
        <w:r>
          <w:rPr>
            <w:rFonts w:hint="eastAsia" w:ascii="仿宋_GB2312" w:eastAsia="仿宋_GB2312"/>
            <w:sz w:val="30"/>
            <w:szCs w:val="30"/>
          </w:rPr>
          <w:t>—</w:t>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98458658"/>
    </w:sdtPr>
    <w:sdtContent>
      <w:p>
        <w:pPr>
          <w:pStyle w:val="3"/>
        </w:pPr>
        <w:r>
          <w:rPr>
            <w:rFonts w:hint="eastAsia" w:ascii="仿宋_GB2312" w:eastAsia="仿宋_GB2312"/>
            <w:sz w:val="30"/>
            <w:szCs w:val="30"/>
          </w:rPr>
          <w:t>—</w:t>
        </w:r>
        <w:r>
          <w:rPr>
            <w:rFonts w:hint="eastAsia" w:ascii="仿宋_GB2312" w:eastAsia="仿宋_GB2312"/>
            <w:sz w:val="30"/>
            <w:szCs w:val="30"/>
          </w:rPr>
          <w:fldChar w:fldCharType="begin"/>
        </w:r>
        <w:r>
          <w:rPr>
            <w:rFonts w:hint="eastAsia" w:ascii="仿宋_GB2312" w:eastAsia="仿宋_GB2312"/>
            <w:sz w:val="30"/>
            <w:szCs w:val="30"/>
          </w:rPr>
          <w:instrText xml:space="preserve"> PAGE   \* MERGEFORMAT </w:instrText>
        </w:r>
        <w:r>
          <w:rPr>
            <w:rFonts w:hint="eastAsia" w:ascii="仿宋_GB2312" w:eastAsia="仿宋_GB2312"/>
            <w:sz w:val="30"/>
            <w:szCs w:val="30"/>
          </w:rPr>
          <w:fldChar w:fldCharType="separate"/>
        </w:r>
        <w:r>
          <w:rPr>
            <w:rFonts w:ascii="仿宋_GB2312" w:eastAsia="仿宋_GB2312"/>
            <w:sz w:val="30"/>
            <w:szCs w:val="30"/>
            <w:lang w:val="zh-CN"/>
          </w:rPr>
          <w:t>2</w:t>
        </w:r>
        <w:r>
          <w:rPr>
            <w:rFonts w:hint="eastAsia" w:ascii="仿宋_GB2312" w:eastAsia="仿宋_GB2312"/>
            <w:sz w:val="30"/>
            <w:szCs w:val="30"/>
          </w:rPr>
          <w:fldChar w:fldCharType="end"/>
        </w:r>
        <w:r>
          <w:rPr>
            <w:rFonts w:hint="eastAsia" w:ascii="仿宋_GB2312" w:eastAsia="仿宋_GB2312"/>
            <w:sz w:val="30"/>
            <w:szCs w:val="30"/>
          </w:rPr>
          <w:t>—</w:t>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46CBB"/>
    <w:rsid w:val="003F6D9F"/>
    <w:rsid w:val="00851707"/>
    <w:rsid w:val="00A473C1"/>
    <w:rsid w:val="00A61D09"/>
    <w:rsid w:val="00B46CBB"/>
    <w:rsid w:val="00BE4922"/>
    <w:rsid w:val="00C5306B"/>
    <w:rsid w:val="00D6743A"/>
    <w:rsid w:val="00E90C70"/>
    <w:rsid w:val="11634734"/>
    <w:rsid w:val="1C2853E7"/>
    <w:rsid w:val="1E9C558B"/>
    <w:rsid w:val="34E34B78"/>
    <w:rsid w:val="395912D0"/>
    <w:rsid w:val="49FC1703"/>
    <w:rsid w:val="4EC162E3"/>
    <w:rsid w:val="54104FA1"/>
    <w:rsid w:val="54D349BF"/>
    <w:rsid w:val="583B141E"/>
    <w:rsid w:val="6DC06D1B"/>
    <w:rsid w:val="6E7012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0"/>
      <w:szCs w:val="30"/>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11"/>
    <w:uiPriority w:val="0"/>
    <w:rPr>
      <w:sz w:val="18"/>
      <w:szCs w:val="18"/>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spacing w:beforeAutospacing="1" w:afterAutospacing="1"/>
      <w:jc w:val="left"/>
    </w:pPr>
    <w:rPr>
      <w:kern w:val="0"/>
      <w:sz w:val="24"/>
    </w:rPr>
  </w:style>
  <w:style w:type="paragraph" w:styleId="8">
    <w:name w:val="List Paragraph"/>
    <w:basedOn w:val="1"/>
    <w:qFormat/>
    <w:uiPriority w:val="34"/>
    <w:pPr>
      <w:ind w:firstLine="420" w:firstLineChars="200"/>
    </w:pPr>
  </w:style>
  <w:style w:type="paragraph" w:customStyle="1" w:styleId="9">
    <w:name w:val="样式 3 三号"/>
    <w:qFormat/>
    <w:uiPriority w:val="0"/>
    <w:pPr>
      <w:widowControl w:val="0"/>
      <w:jc w:val="both"/>
    </w:pPr>
    <w:rPr>
      <w:rFonts w:ascii="Times New Roman" w:hAnsi="Times New Roman" w:eastAsia="方正仿宋_GBK" w:cs="Times New Roman"/>
      <w:kern w:val="2"/>
      <w:sz w:val="32"/>
      <w:szCs w:val="28"/>
      <w:lang w:val="en-US" w:eastAsia="zh-CN" w:bidi="ar-SA"/>
    </w:rPr>
  </w:style>
  <w:style w:type="character" w:customStyle="1" w:styleId="10">
    <w:name w:val="页眉 Char"/>
    <w:basedOn w:val="7"/>
    <w:link w:val="4"/>
    <w:qFormat/>
    <w:uiPriority w:val="0"/>
    <w:rPr>
      <w:rFonts w:ascii="Times New Roman" w:hAnsi="Times New Roman" w:eastAsia="宋体" w:cs="Times New Roman"/>
      <w:kern w:val="2"/>
      <w:sz w:val="18"/>
      <w:szCs w:val="18"/>
    </w:rPr>
  </w:style>
  <w:style w:type="character" w:customStyle="1" w:styleId="11">
    <w:name w:val="批注框文本 Char"/>
    <w:basedOn w:val="7"/>
    <w:link w:val="2"/>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ang_fang\Desktop\&#20044;&#40065;&#26408;&#40784;&#28023;&#20851;2019&#24180;&#25919;&#24220;&#20449;&#24687;&#20844;&#24320;&#24037;&#20316;&#24180;&#24230;&#25253;&#21578;(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乌鲁木齐海关2019年政府信息公开工作年度报告(1)</Template>
  <Company>zhengzhou</Company>
  <Pages>7</Pages>
  <Words>422</Words>
  <Characters>2409</Characters>
  <Lines>20</Lines>
  <Paragraphs>5</Paragraphs>
  <TotalTime>1</TotalTime>
  <ScaleCrop>false</ScaleCrop>
  <LinksUpToDate>false</LinksUpToDate>
  <CharactersWithSpaces>2826</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2020-01-31T07:37:00Z</dcterms:created>
  <dc:creator>梁昉</dc:creator>
  <cp:lastModifiedBy>Administrator</cp:lastModifiedBy>
  <dcterms:modified xsi:type="dcterms:W3CDTF">2020-03-04T11:47:34Z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