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line="288" w:lineRule="auto"/>
        <w:jc w:val="center"/>
        <w:rPr>
          <w:rFonts w:ascii="方正仿宋简体" w:eastAsia="方正仿宋简体" w:cs="Times New Roman"/>
          <w:color w:val="000000"/>
          <w:sz w:val="32"/>
          <w:szCs w:val="32"/>
        </w:rPr>
      </w:pPr>
      <w:bookmarkStart w:id="0" w:name="_GoBack"/>
      <w:bookmarkEnd w:id="0"/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24"/>
          <w:szCs w:val="24"/>
        </w:rPr>
      </w:pPr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24"/>
          <w:szCs w:val="24"/>
        </w:rPr>
      </w:pPr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进境粮食加工企业申请表</w:t>
      </w:r>
    </w:p>
    <w:p>
      <w:pPr>
        <w:snapToGrid w:val="0"/>
        <w:spacing w:line="288" w:lineRule="auto"/>
        <w:jc w:val="center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</w:rPr>
        <w:t>（薯类、油菜籽除外）</w:t>
      </w:r>
    </w:p>
    <w:p>
      <w:pPr>
        <w:snapToGrid w:val="0"/>
        <w:spacing w:line="288" w:lineRule="auto"/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pStyle w:val="17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</w:t>
      </w: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jc w:val="center"/>
        <w:rPr>
          <w:rFonts w:ascii="方正楷体简体" w:eastAsia="方正楷体简体"/>
          <w:b/>
          <w:sz w:val="32"/>
          <w:szCs w:val="32"/>
          <w:shd w:val="clear" w:color="auto" w:fill="FFFFFF"/>
        </w:rPr>
      </w:pPr>
      <w:r>
        <w:rPr>
          <w:rFonts w:ascii="方正楷体简体" w:eastAsia="方正楷体简体" w:hint="eastAsia"/>
          <w:b/>
          <w:sz w:val="32"/>
          <w:szCs w:val="32"/>
          <w:shd w:val="clear" w:color="auto" w:fill="FFFFFF"/>
        </w:rPr>
        <w:t>中华人民共和国海关总署 监制</w:t>
      </w: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tbl>
      <w:tblPr>
        <w:jc w:val="cent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976"/>
        <w:gridCol w:w="904"/>
        <w:gridCol w:w="1249"/>
        <w:gridCol w:w="1451"/>
        <w:gridCol w:w="1622"/>
      </w:tblGrid>
      <w:tr>
        <w:trPr>
          <w:cantSplit/>
          <w:trHeight w:val="416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黑体简体" w:eastAsia="方正黑体简体"/>
                <w:spacing w:val="8"/>
                <w:sz w:val="28"/>
                <w:szCs w:val="28"/>
              </w:rPr>
              <w:br w:type="page"/>
            </w:r>
            <w:r>
              <w:rPr>
                <w:sz w:val="32"/>
                <w:szCs w:val="32"/>
              </w:rPr>
              <w:br w:type="page"/>
            </w:r>
            <w:r>
              <w:rPr>
                <w:rFonts w:ascii="方正黑体简体" w:eastAsia="方正黑体简体"/>
                <w:spacing w:val="8"/>
                <w:sz w:val="28"/>
                <w:szCs w:val="28"/>
              </w:rPr>
              <w:br w:type="page"/>
            </w:r>
            <w:r>
              <w:rPr>
                <w:rFonts w:ascii="仿宋_GB2312" w:eastAsia="仿宋_GB2312" w:hint="eastAsia"/>
                <w:sz w:val="24"/>
              </w:rPr>
              <w:t>企业名称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/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企业地址</w:t>
            </w: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/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□国有  □集体  □私营  □合资  □独资  □其他</w:t>
            </w:r>
          </w:p>
        </w:tc>
      </w:tr>
      <w:tr>
        <w:trPr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获质量认证情况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113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厂区面积(</w:t>
            </w:r>
            <w:r>
              <w:rPr>
                <w:rFonts w:ascii="仿宋_GB2312" w:eastAsia="仿宋_GB2312" w:hint="eastAsia"/>
                <w:spacing w:val="8"/>
                <w:sz w:val="24"/>
              </w:rPr>
              <w:t>M</w:t>
            </w:r>
            <w:r>
              <w:rPr>
                <w:rFonts w:ascii="仿宋_GB2312" w:eastAsia="仿宋_GB2312" w:hint="eastAsia"/>
                <w:spacing w:val="8"/>
                <w:sz w:val="24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pacing w:val="8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加工区面积(</w:t>
            </w:r>
            <w:r>
              <w:rPr>
                <w:rFonts w:ascii="仿宋_GB2312" w:eastAsia="仿宋_GB2312" w:hint="eastAsia"/>
                <w:spacing w:val="8"/>
                <w:sz w:val="24"/>
              </w:rPr>
              <w:t>M</w:t>
            </w:r>
            <w:r>
              <w:rPr>
                <w:rFonts w:ascii="仿宋_GB2312" w:eastAsia="仿宋_GB2312" w:hint="eastAsia"/>
                <w:spacing w:val="8"/>
                <w:sz w:val="24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pacing w:val="8"/>
                <w:sz w:val="24"/>
              </w:rPr>
              <w:t>)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5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筒仓：    个，储量      吨；平仓：   个，储量      吨；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其他：</w:t>
            </w:r>
          </w:p>
        </w:tc>
      </w:tr>
      <w:t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吨/日；         万吨/年。</w:t>
            </w:r>
          </w:p>
        </w:tc>
      </w:tr>
      <w:t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拟加工粮食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□小麦；□大麦；□黑麦；□玉米；□大豆；□油菜籽；□高粱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□豌豆；□其他：</w:t>
            </w:r>
          </w:p>
        </w:tc>
      </w:tr>
      <w:t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提供附件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企业营业执照、认证证书等资质文件复印件；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企业各功能区分布平面图；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生产加工工艺流程图；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接卸码头至加工企业运输方式说明和路线示意图；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有害生物监测与控制制度；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溯源管理制度及相关记录表格；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企业防疫领导小组人员名单；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接卸、运输工具、仓储、下脚料处理设施照片及能力说明；</w:t>
            </w:r>
          </w:p>
          <w:p>
            <w:pPr>
              <w:pStyle w:val="1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其他质量管理相关文件。</w:t>
            </w:r>
          </w:p>
        </w:tc>
      </w:tr>
      <w:tr>
        <w:trPr>
          <w:trHeight w:val="55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本企业保证提供的材料真实有效，并严格执行进境粮食检验检疫要求，定点加工进境粮食，接受海关的监督管理。</w:t>
            </w:r>
          </w:p>
          <w:p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（盖章）</w:t>
            </w:r>
          </w:p>
          <w:p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简体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B322111"/>
    <w:multiLevelType w:val="hybridMultilevel"/>
    <w:tmpl w:val="6480056E"/>
    <w:lvl w:ilvl="0">
      <w:start w:val="0"/>
      <w:numFmt w:val="bullet"/>
      <w:lvlRestart w:val="0"/>
      <w:lvlText w:val="□"/>
      <w:lvlJc w:val="left"/>
      <w:pPr>
        <w:tabs>
          <w:tab w:val="num" w:pos="0"/>
        </w:tabs>
        <w:ind w:left="539" w:hanging="420"/>
      </w:pPr>
      <w:rPr>
        <w:rFonts w:ascii="宋体" w:hAnsi="宋体" w:eastAsia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5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3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9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21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6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5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47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89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  <w:style w:type="paragraph" w:customStyle="1" w:styleId="19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438</Words>
  <Characters>444</Characters>
  <Lines>79</Lines>
  <Paragraphs>44</Paragraphs>
  <CharactersWithSpaces>623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5</cp:revision>
  <dcterms:created xsi:type="dcterms:W3CDTF">2022-01-04T08:45:00Z</dcterms:created>
  <dcterms:modified xsi:type="dcterms:W3CDTF">2022-01-07T06:18:53Z</dcterms:modified>
</cp:coreProperties>
</file>