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center"/>
        <w:outlineLvl w:val="0"/>
        <w:rPr>
          <w:rFonts w:ascii="方正小标宋_GBK" w:eastAsia="方正小标宋_GBK" w:cs="方正仿宋简体"/>
          <w:sz w:val="44"/>
          <w:szCs w:val="44"/>
        </w:rPr>
      </w:pPr>
      <w:r>
        <w:rPr>
          <w:rFonts w:ascii="方正小标宋_GBK" w:eastAsia="方正小标宋_GBK" w:cs="方正仿宋简体" w:hint="eastAsia"/>
          <w:sz w:val="44"/>
          <w:szCs w:val="44"/>
        </w:rPr>
        <w:t>卡拉苏海关进出口食品安全突发事件</w:t>
      </w:r>
    </w:p>
    <w:p>
      <w:pPr>
        <w:spacing w:line="560" w:lineRule="exact"/>
        <w:jc w:val="center"/>
        <w:outlineLvl w:val="0"/>
        <w:rPr>
          <w:rFonts w:ascii="方正小标宋_GBK" w:eastAsia="方正小标宋_GBK" w:cs="方正仿宋简体"/>
          <w:sz w:val="44"/>
          <w:szCs w:val="44"/>
        </w:rPr>
      </w:pPr>
      <w:r>
        <w:rPr>
          <w:rFonts w:ascii="方正小标宋_GBK" w:eastAsia="方正小标宋_GBK" w:cs="方正仿宋简体" w:hint="eastAsia"/>
          <w:sz w:val="44"/>
          <w:szCs w:val="44"/>
        </w:rPr>
        <w:t>应急处置预案</w:t>
      </w:r>
    </w:p>
    <w:p>
      <w:pPr>
        <w:pStyle w:val="18"/>
        <w:spacing w:beforeLines="0" w:before="0" w:after="0" w:line="560" w:lineRule="exact"/>
        <w:ind w:firstLineChars="200" w:firstLine="640"/>
        <w:rPr>
          <w:rFonts w:ascii="方正黑体_GBK" w:eastAsia="方正黑体_GBK"/>
          <w:kern w:val="44"/>
          <w:sz w:val="32"/>
          <w:szCs w:val="44"/>
        </w:rPr>
      </w:pPr>
      <w:r>
        <w:rPr>
          <w:rFonts w:ascii="方正黑体_GBK" w:eastAsia="方正黑体_GBK" w:hint="eastAsia"/>
          <w:kern w:val="44"/>
          <w:sz w:val="32"/>
          <w:szCs w:val="44"/>
        </w:rPr>
        <w:t>一、目的</w:t>
      </w:r>
    </w:p>
    <w:p>
      <w:pPr>
        <w:pStyle w:val="24"/>
        <w:spacing w:line="560" w:lineRule="exact"/>
        <w:ind w:firstLineChars="200" w:firstLine="640"/>
        <w:rPr>
          <w:rFonts w:eastAsia="方正仿宋_GBK"/>
          <w:sz w:val="32"/>
        </w:rPr>
      </w:pPr>
      <w:r>
        <w:rPr>
          <w:rFonts w:eastAsia="方正仿宋_GBK"/>
          <w:sz w:val="32"/>
        </w:rPr>
        <w:t>为有效预防、减少</w:t>
      </w:r>
      <w:r>
        <w:rPr>
          <w:rFonts w:eastAsia="方正仿宋_GBK" w:hint="eastAsia"/>
          <w:sz w:val="32"/>
        </w:rPr>
        <w:t>卡拉苏海关</w:t>
      </w:r>
      <w:r>
        <w:rPr>
          <w:rFonts w:eastAsia="方正仿宋_GBK"/>
          <w:sz w:val="32"/>
        </w:rPr>
        <w:t>关区进出口食品安全突发事件，确保突发事件一旦发生能够快速、高效、有序应对，最大限度地控制、减轻和消除突发事件带来的负面影响或损失，保护公众健康，维护正常的进出口食品贸易秩序，根据《中华人民共和国海关法》《中华人民共和国食品安全法》及其实施条例、《中华人民共和国国境卫生检疫法》及其实施细则、《</w:t>
      </w:r>
      <w:r>
        <w:rPr>
          <w:rFonts w:eastAsia="方正仿宋_GBK"/>
          <w:sz w:val="32"/>
        </w:rPr>
        <w:fldChar w:fldCharType="begin"/>
      </w:r>
      <w:r>
        <w:instrText>HYPERLINK "http://law.foodmate.net/show-1710.html"</w:instrText>
      </w:r>
      <w:r>
        <w:rPr>
          <w:rFonts w:eastAsia="方正仿宋_GBK"/>
          <w:sz w:val="32"/>
        </w:rPr>
        <w:fldChar w:fldCharType="separate"/>
      </w:r>
      <w:r>
        <w:rPr>
          <w:rFonts w:eastAsia="方正仿宋_GBK"/>
          <w:sz w:val="32"/>
        </w:rPr>
        <w:t>中华人民共和国进出境动植物检疫法</w:t>
      </w:r>
      <w:r>
        <w:rPr>
          <w:rFonts w:eastAsia="方正仿宋_GBK"/>
          <w:sz w:val="32"/>
        </w:rPr>
        <w:fldChar w:fldCharType="end"/>
      </w:r>
      <w:r>
        <w:rPr>
          <w:rFonts w:eastAsia="方正仿宋_GBK"/>
          <w:sz w:val="32"/>
        </w:rPr>
        <w:t>》及其实施条例、《</w:t>
      </w:r>
      <w:r>
        <w:rPr>
          <w:rFonts w:eastAsia="方正仿宋_GBK"/>
          <w:sz w:val="32"/>
        </w:rPr>
        <w:fldChar w:fldCharType="begin"/>
      </w:r>
      <w:r>
        <w:instrText>HYPERLINK "http://law.foodmate.net/show-163331.html"</w:instrText>
      </w:r>
      <w:r>
        <w:rPr>
          <w:rFonts w:eastAsia="方正仿宋_GBK"/>
          <w:sz w:val="32"/>
        </w:rPr>
        <w:fldChar w:fldCharType="separate"/>
      </w:r>
      <w:r>
        <w:rPr>
          <w:rFonts w:eastAsia="方正仿宋_GBK"/>
          <w:sz w:val="32"/>
        </w:rPr>
        <w:t>中华人民共和国进出口商品检验法</w:t>
      </w:r>
      <w:r>
        <w:rPr>
          <w:rFonts w:eastAsia="方正仿宋_GBK"/>
          <w:sz w:val="32"/>
        </w:rPr>
        <w:fldChar w:fldCharType="end"/>
      </w:r>
      <w:r>
        <w:rPr>
          <w:rFonts w:eastAsia="方正仿宋_GBK"/>
          <w:sz w:val="32"/>
        </w:rPr>
        <w:t>》及其实施条例、《农产品质量安全法》</w:t>
      </w:r>
      <w:r>
        <w:rPr>
          <w:rFonts w:eastAsia="方正仿宋_GBK" w:hint="eastAsia"/>
          <w:sz w:val="32"/>
        </w:rPr>
        <w:t>、</w:t>
      </w:r>
      <w:r>
        <w:rPr>
          <w:rFonts w:eastAsia="方正仿宋_GBK"/>
          <w:sz w:val="32"/>
        </w:rPr>
        <w:t>《海关总署进出口食品安全突发事件应急处置预案》</w:t>
      </w:r>
      <w:r>
        <w:rPr>
          <w:rFonts w:eastAsia="方正仿宋_GBK" w:hint="eastAsia"/>
          <w:sz w:val="32"/>
        </w:rPr>
        <w:t>《</w:t>
      </w:r>
      <w:bookmarkStart w:id="0" w:name="cogw__附件__Text"/>
      <w:r>
        <w:rPr>
          <w:rFonts w:eastAsia="方正仿宋_GBK"/>
          <w:color w:val="000000"/>
          <w:spacing w:val="-4"/>
          <w:sz w:val="32"/>
          <w:szCs w:val="28"/>
        </w:rPr>
        <w:t>乌鲁木齐海关进出口食品安全突发事件应急预案(修订版)</w:t>
      </w:r>
      <w:bookmarkEnd w:id="0"/>
      <w:r>
        <w:rPr>
          <w:rFonts w:eastAsia="方正仿宋_GBK" w:hint="eastAsia"/>
          <w:sz w:val="32"/>
        </w:rPr>
        <w:t>》</w:t>
      </w:r>
      <w:r>
        <w:rPr>
          <w:rFonts w:eastAsia="方正仿宋_GBK"/>
          <w:sz w:val="32"/>
        </w:rPr>
        <w:t>等法律法规，制定本预案。</w:t>
      </w:r>
    </w:p>
    <w:p>
      <w:pPr>
        <w:pStyle w:val="18"/>
        <w:spacing w:beforeLines="0" w:before="0" w:after="0" w:line="560" w:lineRule="exact"/>
        <w:ind w:firstLineChars="200" w:firstLine="640"/>
        <w:rPr>
          <w:rFonts w:ascii="方正黑体_GBK" w:eastAsia="方正黑体_GBK"/>
          <w:kern w:val="44"/>
          <w:sz w:val="32"/>
          <w:szCs w:val="44"/>
        </w:rPr>
      </w:pPr>
      <w:r>
        <w:rPr>
          <w:rFonts w:ascii="方正黑体_GBK" w:eastAsia="方正黑体_GBK" w:hint="eastAsia"/>
          <w:kern w:val="44"/>
          <w:sz w:val="32"/>
          <w:szCs w:val="44"/>
        </w:rPr>
        <w:t>二、适用范围</w:t>
      </w:r>
    </w:p>
    <w:p>
      <w:pPr>
        <w:pStyle w:val="24"/>
        <w:spacing w:line="560" w:lineRule="exact"/>
        <w:ind w:firstLineChars="200" w:firstLine="640"/>
        <w:rPr>
          <w:rFonts w:eastAsia="方正仿宋_GBK"/>
          <w:sz w:val="32"/>
        </w:rPr>
      </w:pPr>
      <w:r>
        <w:rPr>
          <w:rFonts w:eastAsia="方正仿宋_GBK"/>
          <w:sz w:val="32"/>
        </w:rPr>
        <w:t>本预案适用于</w:t>
      </w:r>
      <w:r>
        <w:rPr>
          <w:rFonts w:eastAsia="方正仿宋_GBK" w:hint="eastAsia"/>
          <w:sz w:val="32"/>
        </w:rPr>
        <w:t>卡拉苏海关在</w:t>
      </w:r>
      <w:r>
        <w:rPr>
          <w:rFonts w:eastAsia="方正仿宋_GBK"/>
          <w:sz w:val="32"/>
        </w:rPr>
        <w:t>进出口食品检验检疫监管工作中突然发生的安全、卫生、质量事件，对公众健康和进出口贸易产生重大影响或构成严重威胁，引起或可能引起社会高度关注的特别重大、重大突发事件的应急处理工作。</w:t>
      </w:r>
    </w:p>
    <w:p>
      <w:pPr>
        <w:pStyle w:val="18"/>
        <w:spacing w:beforeLines="0" w:before="0" w:after="0" w:line="560" w:lineRule="exact"/>
        <w:ind w:firstLineChars="200" w:firstLine="640"/>
        <w:rPr>
          <w:rFonts w:ascii="方正黑体_GBK" w:eastAsia="方正黑体_GBK"/>
          <w:kern w:val="44"/>
          <w:sz w:val="32"/>
          <w:szCs w:val="44"/>
        </w:rPr>
      </w:pPr>
      <w:r>
        <w:rPr>
          <w:rFonts w:ascii="方正黑体_GBK" w:eastAsia="方正黑体_GBK" w:hint="eastAsia"/>
          <w:kern w:val="44"/>
          <w:sz w:val="32"/>
          <w:szCs w:val="44"/>
        </w:rPr>
        <w:t>三、分类分级</w:t>
      </w:r>
    </w:p>
    <w:p>
      <w:pPr>
        <w:pStyle w:val="19"/>
        <w:spacing w:line="560" w:lineRule="exact"/>
        <w:rPr>
          <w:rFonts w:ascii="Times New Roman" w:hAnsi="Times New Roman"/>
          <w:szCs w:val="24"/>
        </w:rPr>
      </w:pPr>
      <w:r>
        <w:rPr>
          <w:rFonts w:ascii="Times New Roman" w:hAnsi="Times New Roman"/>
          <w:szCs w:val="24"/>
        </w:rPr>
        <w:t>根据突发事件性质、严重程度、涉及范围、可控性等因素，分为四级：特别重大（Ⅰ级）、重大（Ⅱ级）、较大（Ⅲ级）和一般（Ⅳ级）。</w:t>
      </w:r>
    </w:p>
    <w:p>
      <w:pPr>
        <w:pStyle w:val="19"/>
        <w:spacing w:line="560" w:lineRule="exact"/>
        <w:rPr>
          <w:rFonts w:ascii="Times New Roman" w:eastAsia="方正楷体_GBK" w:hAnsi="Times New Roman"/>
          <w:b/>
        </w:rPr>
      </w:pPr>
      <w:r>
        <w:rPr>
          <w:rFonts w:ascii="Times New Roman" w:eastAsia="方正楷体_GBK" w:hAnsi="Times New Roman" w:hint="eastAsia"/>
          <w:b/>
        </w:rPr>
        <w:t>（一）</w:t>
      </w:r>
      <w:r>
        <w:rPr>
          <w:rFonts w:ascii="Times New Roman" w:eastAsia="方正楷体_GBK" w:hAnsi="Times New Roman"/>
          <w:b/>
        </w:rPr>
        <w:t>特别重大和重大的安全质量事件应具有以下特征：</w:t>
      </w:r>
    </w:p>
    <w:p>
      <w:pPr>
        <w:pStyle w:val="24"/>
        <w:spacing w:line="560" w:lineRule="exact"/>
        <w:ind w:firstLineChars="200" w:firstLine="640"/>
        <w:rPr>
          <w:rFonts w:eastAsia="方正仿宋_GBK"/>
          <w:sz w:val="32"/>
        </w:rPr>
      </w:pPr>
      <w:r>
        <w:rPr>
          <w:rFonts w:eastAsia="方正仿宋_GBK"/>
          <w:sz w:val="32"/>
        </w:rPr>
        <w:t>（1）进出口食品经检查发现有对公众健康造成或可能造成严重影响或威胁，需立即应急处置的；</w:t>
      </w:r>
    </w:p>
    <w:p>
      <w:pPr>
        <w:pStyle w:val="24"/>
        <w:spacing w:line="560" w:lineRule="exact"/>
        <w:ind w:firstLineChars="200" w:firstLine="640"/>
        <w:rPr>
          <w:rFonts w:eastAsia="方正仿宋_GBK"/>
          <w:sz w:val="32"/>
        </w:rPr>
      </w:pPr>
      <w:r>
        <w:rPr>
          <w:rFonts w:eastAsia="方正仿宋_GBK"/>
          <w:sz w:val="32"/>
        </w:rPr>
        <w:t>（2）出口食品被进口国或地区官方通报存在重大的安全卫生问题，已经或可能采取限制措施，对我出口贸易造成重大影响，需立即应急处置的；</w:t>
      </w:r>
    </w:p>
    <w:p>
      <w:pPr>
        <w:pStyle w:val="24"/>
        <w:spacing w:line="560" w:lineRule="exact"/>
        <w:ind w:firstLineChars="200" w:firstLine="640"/>
        <w:rPr>
          <w:rFonts w:eastAsia="方正仿宋_GBK"/>
          <w:sz w:val="32"/>
        </w:rPr>
      </w:pPr>
      <w:r>
        <w:rPr>
          <w:rFonts w:eastAsia="方正仿宋_GBK"/>
          <w:sz w:val="32"/>
        </w:rPr>
        <w:t>（3）进出口食品被发现、查出或媒体报道存在安全卫生问题，引起或可能引起社会高度关注或恐慌，已经或可能对进出口贸易造成重大影响，需立即应急处置的。</w:t>
      </w:r>
    </w:p>
    <w:p>
      <w:pPr>
        <w:pStyle w:val="24"/>
        <w:spacing w:line="560" w:lineRule="exact"/>
        <w:ind w:firstLineChars="200" w:firstLine="640"/>
        <w:rPr>
          <w:rFonts w:eastAsia="方正仿宋_GBK"/>
          <w:sz w:val="32"/>
        </w:rPr>
      </w:pPr>
      <w:r>
        <w:rPr>
          <w:rFonts w:eastAsia="方正仿宋_GBK"/>
          <w:sz w:val="32"/>
        </w:rPr>
        <w:t>（4）海关总署认定的其他特别重大或重大食品质量安全突发事件，需要立即采取应急处置的。</w:t>
      </w:r>
    </w:p>
    <w:p>
      <w:pPr>
        <w:pStyle w:val="26"/>
        <w:spacing w:beforeLines="0" w:before="0" w:after="0" w:line="560" w:lineRule="exact"/>
        <w:ind w:firstLineChars="200" w:firstLine="640"/>
        <w:rPr>
          <w:rFonts w:ascii="Times New Roman" w:eastAsia="方正仿宋_GBK" w:hAnsi="Times New Roman"/>
          <w:sz w:val="32"/>
          <w:szCs w:val="24"/>
        </w:rPr>
      </w:pPr>
      <w:r>
        <w:rPr>
          <w:rFonts w:ascii="Times New Roman" w:eastAsia="方正楷体_GBK" w:hAnsi="Times New Roman" w:hint="eastAsia"/>
          <w:b/>
          <w:sz w:val="32"/>
          <w:szCs w:val="32"/>
        </w:rPr>
        <w:t>（二）</w:t>
      </w:r>
      <w:r>
        <w:rPr>
          <w:rFonts w:ascii="Times New Roman" w:eastAsia="方正楷体_GBK" w:hAnsi="Times New Roman"/>
          <w:b/>
          <w:sz w:val="32"/>
          <w:szCs w:val="32"/>
        </w:rPr>
        <w:t>较大和一般性突发事件：</w:t>
      </w:r>
      <w:r>
        <w:rPr>
          <w:rFonts w:ascii="Times New Roman" w:eastAsia="方正仿宋_GBK" w:hAnsi="Times New Roman"/>
          <w:sz w:val="32"/>
          <w:szCs w:val="24"/>
        </w:rPr>
        <w:t>进出口食品被发现对公众安全、动植物健康或生态环境安全造成或可能造成较大影响或威胁的；对我国进出口食品产业及贸易有较大影响，在单一直属关辖区内有一定影响，已引起社会公众、媒体或业界较高关注的；在</w:t>
      </w:r>
      <w:r>
        <w:rPr>
          <w:rFonts w:ascii="Times New Roman" w:eastAsia="方正仿宋_GBK" w:hAnsi="Times New Roman" w:hint="eastAsia"/>
          <w:sz w:val="32"/>
          <w:szCs w:val="24"/>
        </w:rPr>
        <w:t>本</w:t>
      </w:r>
      <w:r>
        <w:rPr>
          <w:rFonts w:ascii="Times New Roman" w:eastAsia="方正仿宋_GBK" w:hAnsi="Times New Roman"/>
          <w:sz w:val="32"/>
          <w:szCs w:val="24"/>
        </w:rPr>
        <w:t>辖区内可以协调处置。</w:t>
      </w:r>
    </w:p>
    <w:p>
      <w:pPr>
        <w:pStyle w:val="18"/>
        <w:spacing w:beforeLines="0" w:before="0" w:after="0" w:line="560" w:lineRule="exact"/>
        <w:ind w:firstLineChars="200" w:firstLine="640"/>
        <w:rPr>
          <w:rFonts w:ascii="方正黑体_GBK" w:eastAsia="方正黑体_GBK"/>
          <w:kern w:val="44"/>
          <w:sz w:val="32"/>
          <w:szCs w:val="44"/>
        </w:rPr>
      </w:pPr>
      <w:r>
        <w:rPr>
          <w:rFonts w:ascii="方正黑体_GBK" w:eastAsia="方正黑体_GBK" w:hint="eastAsia"/>
          <w:kern w:val="44"/>
          <w:sz w:val="32"/>
          <w:szCs w:val="44"/>
        </w:rPr>
        <w:t>四、组织机构</w:t>
      </w:r>
    </w:p>
    <w:p>
      <w:pPr>
        <w:pStyle w:val="20"/>
        <w:spacing w:line="560" w:lineRule="exact"/>
        <w:outlineLvl w:val="9"/>
      </w:pPr>
      <w:r>
        <w:rPr>
          <w:rFonts w:hint="eastAsia"/>
        </w:rPr>
        <w:t>（一）</w:t>
      </w:r>
      <w:r>
        <w:t>成立</w:t>
      </w:r>
      <w:r>
        <w:rPr>
          <w:rFonts w:hint="eastAsia"/>
        </w:rPr>
        <w:t>卡拉苏</w:t>
      </w:r>
      <w:r>
        <w:t>海关食品安全应急指挥部</w:t>
      </w:r>
    </w:p>
    <w:p>
      <w:pPr>
        <w:pStyle w:val="24"/>
        <w:spacing w:line="560" w:lineRule="exact"/>
        <w:ind w:firstLineChars="200" w:firstLine="640"/>
        <w:rPr>
          <w:rFonts w:eastAsia="方正仿宋_GBK"/>
          <w:sz w:val="32"/>
        </w:rPr>
      </w:pPr>
      <w:r>
        <w:rPr>
          <w:rFonts w:eastAsia="方正仿宋_GBK"/>
          <w:sz w:val="32"/>
        </w:rPr>
        <w:t>总指挥：</w:t>
      </w:r>
      <w:r>
        <w:rPr>
          <w:rFonts w:eastAsia="方正仿宋_GBK" w:hint="eastAsia"/>
          <w:sz w:val="32"/>
        </w:rPr>
        <w:t>贺军 关长、党委书记</w:t>
      </w:r>
    </w:p>
    <w:p>
      <w:pPr>
        <w:pStyle w:val="24"/>
        <w:spacing w:line="560" w:lineRule="exact"/>
        <w:ind w:firstLineChars="200" w:firstLine="640"/>
        <w:rPr>
          <w:rFonts w:eastAsia="方正仿宋_GBK"/>
          <w:sz w:val="32"/>
        </w:rPr>
      </w:pPr>
      <w:r>
        <w:rPr>
          <w:rFonts w:eastAsia="方正仿宋_GBK"/>
          <w:sz w:val="32"/>
        </w:rPr>
        <w:t>副总指挥：</w:t>
      </w:r>
      <w:r>
        <w:rPr>
          <w:rFonts w:eastAsia="方正仿宋_GBK" w:hint="eastAsia"/>
          <w:sz w:val="32"/>
        </w:rPr>
        <w:t>张力副关长、郑军副关长、开赛尔·木明副关长</w:t>
      </w:r>
    </w:p>
    <w:p>
      <w:pPr>
        <w:pStyle w:val="24"/>
        <w:spacing w:line="560" w:lineRule="exact"/>
        <w:ind w:firstLineChars="200" w:firstLine="640"/>
        <w:rPr>
          <w:rFonts w:eastAsia="方正仿宋_GBK"/>
          <w:sz w:val="32"/>
        </w:rPr>
      </w:pPr>
      <w:r>
        <w:rPr>
          <w:rFonts w:eastAsia="方正仿宋_GBK"/>
          <w:sz w:val="32"/>
        </w:rPr>
        <w:t>成员：</w:t>
      </w:r>
      <w:r>
        <w:rPr>
          <w:rFonts w:eastAsia="方正仿宋_GBK" w:hint="eastAsia"/>
          <w:sz w:val="32"/>
        </w:rPr>
        <w:t>办公室（党委组织宣传部）、综合业务科、监管科、查检科、缉私科科长。</w:t>
      </w:r>
    </w:p>
    <w:p>
      <w:pPr>
        <w:pStyle w:val="24"/>
        <w:spacing w:line="560" w:lineRule="exact"/>
        <w:ind w:firstLineChars="200" w:firstLine="640"/>
        <w:rPr>
          <w:rFonts w:eastAsia="方正仿宋_GBK"/>
          <w:sz w:val="32"/>
        </w:rPr>
      </w:pPr>
      <w:r>
        <w:rPr>
          <w:rFonts w:eastAsia="方正仿宋_GBK"/>
          <w:sz w:val="32"/>
        </w:rPr>
        <w:t>领导小组下设办公室，办公室设在</w:t>
      </w:r>
      <w:r>
        <w:rPr>
          <w:rFonts w:eastAsia="方正仿宋_GBK" w:hint="eastAsia"/>
          <w:sz w:val="32"/>
        </w:rPr>
        <w:t>监管科</w:t>
      </w:r>
      <w:r>
        <w:rPr>
          <w:rFonts w:eastAsia="方正仿宋_GBK"/>
          <w:sz w:val="32"/>
        </w:rPr>
        <w:t>。</w:t>
      </w:r>
    </w:p>
    <w:p>
      <w:pPr>
        <w:pStyle w:val="20"/>
        <w:spacing w:line="560" w:lineRule="exact"/>
        <w:outlineLvl w:val="9"/>
      </w:pPr>
      <w:r>
        <w:rPr>
          <w:rFonts w:hint="eastAsia"/>
        </w:rPr>
        <w:t>（二）</w:t>
      </w:r>
      <w:r>
        <w:rPr>
          <w:rFonts w:ascii="方正仿宋_GBK" w:hAnsi="方正仿宋_GBK" w:hint="eastAsia"/>
        </w:rPr>
        <w:t>卡拉苏</w:t>
      </w:r>
      <w:r>
        <w:rPr>
          <w:rFonts w:ascii="方正仿宋_GBK" w:hAnsi="方正仿宋_GBK"/>
        </w:rPr>
        <w:t>海关食品安全应急指挥部</w:t>
      </w:r>
      <w:r>
        <w:t>职责</w:t>
      </w:r>
      <w:r>
        <w:rPr>
          <w:rFonts w:eastAsia="方正仿宋_GBK"/>
        </w:rPr>
        <w:t> </w:t>
      </w:r>
    </w:p>
    <w:p>
      <w:pPr>
        <w:pStyle w:val="24"/>
        <w:spacing w:line="560" w:lineRule="exact"/>
        <w:ind w:firstLineChars="200" w:firstLine="640"/>
        <w:rPr>
          <w:rFonts w:eastAsia="方正仿宋_GBK"/>
          <w:sz w:val="32"/>
        </w:rPr>
      </w:pPr>
      <w:r>
        <w:rPr>
          <w:rFonts w:eastAsia="方正仿宋_GBK"/>
          <w:sz w:val="32"/>
        </w:rPr>
        <w:t>（</w:t>
      </w:r>
      <w:r>
        <w:rPr>
          <w:rFonts w:ascii="方正仿宋_GBK" w:eastAsia="方正仿宋_GBK" w:hint="eastAsia"/>
          <w:sz w:val="32"/>
        </w:rPr>
        <w:t>1</w:t>
      </w:r>
      <w:r>
        <w:rPr>
          <w:rFonts w:eastAsia="方正仿宋_GBK" w:hint="eastAsia"/>
          <w:sz w:val="32"/>
        </w:rPr>
        <w:t>）办公室</w:t>
      </w:r>
      <w:r>
        <w:rPr>
          <w:rFonts w:eastAsia="方正仿宋_GBK"/>
          <w:sz w:val="32"/>
        </w:rPr>
        <w:t>：衔接</w:t>
      </w:r>
      <w:r>
        <w:rPr>
          <w:rFonts w:eastAsia="方正仿宋_GBK" w:hint="eastAsia"/>
          <w:sz w:val="32"/>
        </w:rPr>
        <w:t>卡拉苏</w:t>
      </w:r>
      <w:r>
        <w:rPr>
          <w:rFonts w:eastAsia="方正仿宋_GBK"/>
          <w:sz w:val="32"/>
        </w:rPr>
        <w:t>海关其他应急指挥系统运行，指导新闻发布和舆情监测等。</w:t>
      </w:r>
    </w:p>
    <w:p>
      <w:pPr>
        <w:pStyle w:val="24"/>
        <w:spacing w:line="560" w:lineRule="exact"/>
        <w:ind w:firstLineChars="200" w:firstLine="640"/>
        <w:rPr>
          <w:rFonts w:eastAsia="方正仿宋_GBK"/>
          <w:sz w:val="32"/>
        </w:rPr>
      </w:pPr>
      <w:r>
        <w:rPr>
          <w:rFonts w:eastAsia="方正仿宋_GBK"/>
          <w:sz w:val="32"/>
        </w:rPr>
        <w:t>（</w:t>
      </w:r>
      <w:r>
        <w:rPr>
          <w:rFonts w:ascii="方正仿宋_GBK" w:eastAsia="方正仿宋_GBK" w:hint="eastAsia"/>
          <w:sz w:val="32"/>
        </w:rPr>
        <w:t>2</w:t>
      </w:r>
      <w:r>
        <w:rPr>
          <w:rFonts w:eastAsia="方正仿宋_GBK" w:hint="eastAsia"/>
          <w:sz w:val="32"/>
        </w:rPr>
        <w:t>）</w:t>
      </w:r>
      <w:r>
        <w:rPr>
          <w:rFonts w:eastAsia="方正仿宋_GBK"/>
          <w:sz w:val="32"/>
        </w:rPr>
        <w:t>综合业务</w:t>
      </w:r>
      <w:r>
        <w:rPr>
          <w:rFonts w:eastAsia="方正仿宋_GBK" w:hint="eastAsia"/>
          <w:sz w:val="32"/>
        </w:rPr>
        <w:t>科</w:t>
      </w:r>
      <w:r>
        <w:rPr>
          <w:rFonts w:eastAsia="方正仿宋_GBK"/>
          <w:sz w:val="32"/>
        </w:rPr>
        <w:t>：负责应急工作的法律支持等。</w:t>
      </w:r>
    </w:p>
    <w:p>
      <w:pPr>
        <w:pStyle w:val="24"/>
        <w:spacing w:line="560" w:lineRule="exact"/>
        <w:ind w:firstLineChars="200" w:firstLine="640"/>
        <w:rPr>
          <w:rFonts w:eastAsia="方正仿宋_GBK"/>
          <w:sz w:val="32"/>
        </w:rPr>
      </w:pPr>
      <w:r>
        <w:rPr>
          <w:rFonts w:eastAsia="方正仿宋_GBK"/>
          <w:sz w:val="32"/>
        </w:rPr>
        <w:t>（</w:t>
      </w:r>
      <w:r>
        <w:rPr>
          <w:rFonts w:eastAsia="方正仿宋_GBK" w:hint="eastAsia"/>
          <w:sz w:val="32"/>
        </w:rPr>
        <w:t>3）监管科</w:t>
      </w:r>
      <w:r>
        <w:rPr>
          <w:rFonts w:eastAsia="方正仿宋_GBK"/>
          <w:sz w:val="32"/>
        </w:rPr>
        <w:t>：制定并实施《</w:t>
      </w:r>
      <w:r>
        <w:rPr>
          <w:rFonts w:eastAsia="方正仿宋_GBK" w:hint="eastAsia"/>
          <w:sz w:val="32"/>
        </w:rPr>
        <w:t>卡拉苏</w:t>
      </w:r>
      <w:r>
        <w:rPr>
          <w:rFonts w:eastAsia="方正仿宋_GBK"/>
          <w:sz w:val="32"/>
        </w:rPr>
        <w:t>海关进出口食品安全突发事件应急处置预案》</w:t>
      </w:r>
      <w:r>
        <w:rPr>
          <w:rFonts w:eastAsia="方正仿宋_GBK" w:hint="eastAsia"/>
          <w:sz w:val="32"/>
        </w:rPr>
        <w:t>；</w:t>
      </w:r>
      <w:r>
        <w:rPr>
          <w:rFonts w:eastAsia="方正仿宋_GBK"/>
          <w:sz w:val="32"/>
        </w:rPr>
        <w:t>具体落实乌鲁木齐海关食品安全应急指挥部下达的各项指令和任务；负责评估判定一般突发事件等级，提出调整响应级别的建议</w:t>
      </w:r>
      <w:r>
        <w:rPr>
          <w:rFonts w:eastAsia="方正仿宋_GBK" w:hint="eastAsia"/>
          <w:sz w:val="32"/>
        </w:rPr>
        <w:t>；</w:t>
      </w:r>
      <w:r>
        <w:rPr>
          <w:rFonts w:eastAsia="方正仿宋_GBK"/>
          <w:sz w:val="32"/>
        </w:rPr>
        <w:t>随时向乌鲁木齐海关食品安全应急指挥部汇报有关应急处置情况；有必要时向当地人民政府或食安办报告。</w:t>
      </w:r>
    </w:p>
    <w:p>
      <w:pPr>
        <w:pStyle w:val="24"/>
        <w:spacing w:line="560" w:lineRule="exact"/>
        <w:ind w:firstLineChars="200" w:firstLine="640"/>
        <w:rPr>
          <w:rFonts w:eastAsia="方正仿宋_GBK"/>
          <w:sz w:val="32"/>
        </w:rPr>
      </w:pPr>
      <w:r>
        <w:rPr>
          <w:rFonts w:eastAsia="方正仿宋_GBK"/>
          <w:sz w:val="32"/>
        </w:rPr>
        <w:t>（</w:t>
      </w:r>
      <w:r>
        <w:rPr>
          <w:rFonts w:eastAsia="方正仿宋_GBK" w:hint="eastAsia"/>
          <w:sz w:val="32"/>
        </w:rPr>
        <w:t>4</w:t>
      </w:r>
      <w:r>
        <w:rPr>
          <w:rFonts w:eastAsia="方正仿宋_GBK"/>
          <w:sz w:val="32"/>
        </w:rPr>
        <w:t>）</w:t>
      </w:r>
      <w:r>
        <w:rPr>
          <w:rFonts w:eastAsia="方正仿宋_GBK" w:hint="eastAsia"/>
          <w:sz w:val="32"/>
        </w:rPr>
        <w:t>查检科</w:t>
      </w:r>
      <w:r>
        <w:rPr>
          <w:rFonts w:eastAsia="方正仿宋_GBK"/>
          <w:sz w:val="32"/>
        </w:rPr>
        <w:t>：按照本</w:t>
      </w:r>
      <w:r>
        <w:rPr>
          <w:rFonts w:eastAsia="方正仿宋_GBK" w:hint="eastAsia"/>
          <w:sz w:val="32"/>
        </w:rPr>
        <w:t>科室</w:t>
      </w:r>
      <w:r>
        <w:rPr>
          <w:rFonts w:eastAsia="方正仿宋_GBK"/>
          <w:sz w:val="32"/>
        </w:rPr>
        <w:t>职责，</w:t>
      </w:r>
      <w:r>
        <w:rPr>
          <w:rFonts w:eastAsia="方正仿宋_GBK" w:hint="eastAsia"/>
          <w:sz w:val="32"/>
        </w:rPr>
        <w:t>加强对进出口食品查验工作，</w:t>
      </w:r>
      <w:r>
        <w:rPr>
          <w:rFonts w:eastAsia="方正仿宋_GBK"/>
          <w:sz w:val="32"/>
        </w:rPr>
        <w:t>配合</w:t>
      </w:r>
      <w:r>
        <w:rPr>
          <w:rFonts w:eastAsia="方正仿宋_GBK" w:hint="eastAsia"/>
          <w:sz w:val="32"/>
        </w:rPr>
        <w:t>协助监管科对</w:t>
      </w:r>
      <w:r>
        <w:rPr>
          <w:rFonts w:eastAsia="方正仿宋_GBK"/>
          <w:sz w:val="32"/>
        </w:rPr>
        <w:t>发生在海关各业务现场涉及进出口食品安全突发事件</w:t>
      </w:r>
      <w:r>
        <w:rPr>
          <w:rFonts w:eastAsia="方正仿宋_GBK" w:hint="eastAsia"/>
          <w:sz w:val="32"/>
        </w:rPr>
        <w:t>进行</w:t>
      </w:r>
      <w:r>
        <w:rPr>
          <w:rFonts w:eastAsia="方正仿宋_GBK"/>
          <w:sz w:val="32"/>
        </w:rPr>
        <w:t>处置工作</w:t>
      </w:r>
      <w:r>
        <w:rPr>
          <w:rFonts w:eastAsia="方正仿宋_GBK" w:hint="eastAsia"/>
          <w:sz w:val="32"/>
        </w:rPr>
        <w:t>。</w:t>
      </w:r>
    </w:p>
    <w:p>
      <w:pPr>
        <w:pStyle w:val="24"/>
        <w:spacing w:line="560" w:lineRule="exact"/>
        <w:ind w:firstLineChars="200" w:firstLine="640"/>
        <w:rPr>
          <w:rFonts w:eastAsia="方正仿宋_GBK"/>
          <w:sz w:val="32"/>
        </w:rPr>
      </w:pPr>
      <w:r>
        <w:rPr>
          <w:rFonts w:eastAsia="方正仿宋_GBK"/>
          <w:sz w:val="32"/>
        </w:rPr>
        <w:t>（</w:t>
      </w:r>
      <w:r>
        <w:rPr>
          <w:rFonts w:eastAsia="方正仿宋_GBK" w:hint="eastAsia"/>
          <w:sz w:val="32"/>
        </w:rPr>
        <w:t>5</w:t>
      </w:r>
      <w:r>
        <w:rPr>
          <w:rFonts w:eastAsia="方正仿宋_GBK"/>
          <w:sz w:val="32"/>
        </w:rPr>
        <w:t>）缉私</w:t>
      </w:r>
      <w:r>
        <w:rPr>
          <w:rFonts w:eastAsia="方正仿宋_GBK" w:hint="eastAsia"/>
          <w:sz w:val="32"/>
        </w:rPr>
        <w:t>科</w:t>
      </w:r>
      <w:r>
        <w:rPr>
          <w:rFonts w:eastAsia="方正仿宋_GBK"/>
          <w:sz w:val="32"/>
        </w:rPr>
        <w:t>：负责协助与公安、安全、军队、武警等部门联系、协调、合作，提供预警性情报，协助有关部门开展突发事件的侦查和调查工作等。</w:t>
      </w:r>
    </w:p>
    <w:p>
      <w:pPr>
        <w:pStyle w:val="18"/>
        <w:spacing w:beforeLines="0" w:before="0" w:after="0" w:line="560" w:lineRule="exact"/>
        <w:ind w:firstLineChars="200" w:firstLine="640"/>
        <w:rPr>
          <w:rFonts w:ascii="方正黑体_GBK" w:eastAsia="方正黑体_GBK"/>
          <w:kern w:val="44"/>
          <w:sz w:val="32"/>
          <w:szCs w:val="44"/>
        </w:rPr>
      </w:pPr>
      <w:r>
        <w:rPr>
          <w:rFonts w:ascii="方正黑体_GBK" w:eastAsia="方正黑体_GBK" w:hint="eastAsia"/>
          <w:kern w:val="44"/>
          <w:sz w:val="32"/>
          <w:szCs w:val="44"/>
        </w:rPr>
        <w:t>五、应急处置工作内容</w:t>
      </w:r>
    </w:p>
    <w:p>
      <w:pPr>
        <w:pStyle w:val="19"/>
        <w:spacing w:line="560" w:lineRule="exact"/>
        <w:rPr>
          <w:rFonts w:ascii="方正楷体_GBK" w:eastAsia="方正楷体_GBK"/>
          <w:b/>
        </w:rPr>
      </w:pPr>
      <w:r>
        <w:rPr>
          <w:rFonts w:ascii="方正楷体_GBK" w:eastAsia="方正楷体_GBK" w:hint="eastAsia"/>
          <w:b/>
        </w:rPr>
        <w:t>（一）预案启动</w:t>
      </w:r>
    </w:p>
    <w:p>
      <w:pPr>
        <w:pStyle w:val="24"/>
        <w:spacing w:line="560" w:lineRule="exact"/>
        <w:ind w:firstLineChars="200" w:firstLine="640"/>
        <w:rPr>
          <w:rFonts w:eastAsia="方正仿宋_GBK"/>
          <w:sz w:val="32"/>
        </w:rPr>
      </w:pPr>
      <w:r>
        <w:rPr>
          <w:rFonts w:eastAsia="方正仿宋_GBK" w:hint="eastAsia"/>
          <w:sz w:val="32"/>
        </w:rPr>
        <w:t>卡拉苏</w:t>
      </w:r>
      <w:r>
        <w:rPr>
          <w:rFonts w:eastAsia="方正仿宋_GBK"/>
          <w:sz w:val="32"/>
        </w:rPr>
        <w:t>海关食品安全应急指挥部对收集、报送以及相关渠道获得的进出口食品安全质量突发事件的信息进行筛选、整理、评估，按照突发事件的分类分级并根据类别启动应急预案。</w:t>
      </w:r>
    </w:p>
    <w:p>
      <w:pPr>
        <w:pStyle w:val="24"/>
        <w:spacing w:line="560" w:lineRule="exact"/>
        <w:ind w:firstLineChars="200" w:firstLine="640"/>
        <w:rPr>
          <w:rFonts w:eastAsia="方正仿宋_GBK"/>
          <w:sz w:val="32"/>
        </w:rPr>
      </w:pPr>
      <w:r>
        <w:rPr>
          <w:rFonts w:eastAsia="方正仿宋_GBK"/>
          <w:sz w:val="32"/>
        </w:rPr>
        <w:t>重大级别以下突发事件应急处理工作由</w:t>
      </w:r>
      <w:r>
        <w:rPr>
          <w:rFonts w:eastAsia="方正仿宋_GBK" w:hint="eastAsia"/>
          <w:sz w:val="32"/>
        </w:rPr>
        <w:t>卡拉苏海关</w:t>
      </w:r>
      <w:r>
        <w:rPr>
          <w:rFonts w:eastAsia="方正仿宋_GBK"/>
          <w:sz w:val="32"/>
        </w:rPr>
        <w:t>依据本预案负责组织实施。超出本级应急处置能力时，要及时报请乌鲁木齐海关食品安全应急指挥部以获得指导和支持。</w:t>
      </w:r>
    </w:p>
    <w:p>
      <w:pPr>
        <w:pStyle w:val="24"/>
        <w:spacing w:line="560" w:lineRule="exact"/>
        <w:ind w:firstLineChars="200" w:firstLine="640"/>
        <w:rPr>
          <w:rFonts w:eastAsia="方正仿宋_GBK"/>
          <w:sz w:val="32"/>
        </w:rPr>
      </w:pPr>
      <w:r>
        <w:rPr>
          <w:rFonts w:eastAsia="方正仿宋_GBK" w:hint="eastAsia"/>
          <w:sz w:val="32"/>
        </w:rPr>
        <w:t>（二）</w:t>
      </w:r>
      <w:r>
        <w:rPr>
          <w:rFonts w:eastAsia="方正仿宋_GBK"/>
          <w:sz w:val="32"/>
        </w:rPr>
        <w:t>应急处置</w:t>
      </w:r>
    </w:p>
    <w:p>
      <w:pPr>
        <w:pStyle w:val="24"/>
        <w:spacing w:line="560" w:lineRule="exact"/>
        <w:ind w:firstLineChars="200" w:firstLine="640"/>
        <w:rPr>
          <w:rFonts w:eastAsia="方正仿宋_GBK"/>
          <w:sz w:val="32"/>
        </w:rPr>
      </w:pPr>
      <w:r>
        <w:rPr>
          <w:rFonts w:eastAsia="方正仿宋_GBK"/>
          <w:sz w:val="32"/>
        </w:rPr>
        <w:t>根据事态严重程度，有针对性地选择采取但不限于下列应急处置措施：</w:t>
      </w:r>
    </w:p>
    <w:p>
      <w:pPr>
        <w:pStyle w:val="24"/>
        <w:spacing w:line="560" w:lineRule="exact"/>
        <w:ind w:firstLineChars="200" w:firstLine="640"/>
        <w:rPr>
          <w:rFonts w:eastAsia="方正仿宋_GBK"/>
          <w:bCs/>
          <w:sz w:val="32"/>
        </w:rPr>
      </w:pPr>
      <w:r>
        <w:rPr>
          <w:rFonts w:eastAsia="方正仿宋_GBK" w:hint="eastAsia"/>
          <w:bCs/>
          <w:sz w:val="32"/>
        </w:rPr>
        <w:t>1.</w:t>
      </w:r>
      <w:r>
        <w:rPr>
          <w:rFonts w:eastAsia="方正仿宋_GBK"/>
          <w:bCs/>
          <w:sz w:val="32"/>
        </w:rPr>
        <w:t>调查核实</w:t>
      </w:r>
    </w:p>
    <w:p>
      <w:pPr>
        <w:pStyle w:val="24"/>
        <w:spacing w:line="560" w:lineRule="exact"/>
        <w:ind w:firstLineChars="200" w:firstLine="640"/>
        <w:rPr>
          <w:rFonts w:eastAsia="方正仿宋_GBK"/>
          <w:sz w:val="32"/>
        </w:rPr>
      </w:pPr>
      <w:r>
        <w:rPr>
          <w:rFonts w:eastAsia="方正仿宋_GBK"/>
          <w:sz w:val="32"/>
        </w:rPr>
        <w:t>（1）调查突发事件所涉及食品的有关情况，包括进出口贸易企业、生产加工企业、进出口国家或地区及有关要求、出入境口岸、进出口批次及数量等基本情况。</w:t>
      </w:r>
    </w:p>
    <w:p>
      <w:pPr>
        <w:pStyle w:val="24"/>
        <w:spacing w:line="560" w:lineRule="exact"/>
        <w:ind w:firstLineChars="200" w:firstLine="640"/>
        <w:rPr>
          <w:rFonts w:eastAsia="方正仿宋_GBK"/>
          <w:sz w:val="32"/>
        </w:rPr>
      </w:pPr>
      <w:r>
        <w:rPr>
          <w:rFonts w:eastAsia="方正仿宋_GBK"/>
          <w:sz w:val="32"/>
        </w:rPr>
        <w:t>（2）调查突发事件所涉及食品在事发地以外其他地区生产或其他口岸进出口情况，以及有无发现类似安全卫生问题。</w:t>
      </w:r>
    </w:p>
    <w:p>
      <w:pPr>
        <w:pStyle w:val="19"/>
        <w:spacing w:line="560" w:lineRule="exact"/>
        <w:rPr>
          <w:rFonts w:ascii="Times New Roman" w:hAnsi="Times New Roman"/>
          <w:szCs w:val="24"/>
        </w:rPr>
      </w:pPr>
      <w:r>
        <w:rPr>
          <w:rFonts w:ascii="Times New Roman" w:hAnsi="Times New Roman"/>
          <w:szCs w:val="24"/>
        </w:rPr>
        <w:t>（3）对于出现的安全卫生原因，要立即请</w:t>
      </w:r>
      <w:r>
        <w:rPr>
          <w:rFonts w:ascii="Times New Roman" w:hAnsi="Times New Roman" w:hint="eastAsia"/>
          <w:szCs w:val="24"/>
        </w:rPr>
        <w:t>总关</w:t>
      </w:r>
      <w:r>
        <w:rPr>
          <w:rFonts w:ascii="Times New Roman" w:hAnsi="Times New Roman"/>
          <w:szCs w:val="24"/>
        </w:rPr>
        <w:t>技术中心进行核实、确认，如无检测标准和方法的，要尽快组织专家研究。必要时，与有关国家或地区主管部门联系提供检测技术、方法、标准及样品，或开展合作研究。</w:t>
      </w:r>
    </w:p>
    <w:p>
      <w:pPr>
        <w:pStyle w:val="19"/>
        <w:spacing w:line="560" w:lineRule="exact"/>
        <w:rPr>
          <w:rFonts w:ascii="Times New Roman" w:hAnsi="Times New Roman"/>
          <w:szCs w:val="24"/>
        </w:rPr>
      </w:pPr>
      <w:r>
        <w:rPr>
          <w:rFonts w:ascii="Times New Roman" w:hAnsi="Times New Roman"/>
          <w:szCs w:val="24"/>
        </w:rPr>
        <w:t>（4）了解有关国家或地区主管部门对突发事件的反应及调查情况，以及国内外主要媒体报道情况。</w:t>
      </w:r>
    </w:p>
    <w:p>
      <w:pPr>
        <w:pStyle w:val="19"/>
        <w:spacing w:line="560" w:lineRule="exact"/>
        <w:rPr>
          <w:rFonts w:ascii="Times New Roman" w:hAnsi="Times New Roman"/>
          <w:szCs w:val="24"/>
        </w:rPr>
      </w:pPr>
      <w:r>
        <w:rPr>
          <w:rFonts w:ascii="Times New Roman" w:hAnsi="Times New Roman"/>
          <w:szCs w:val="24"/>
        </w:rPr>
        <w:t>（5）在调查核实的基础上，综合评估、分析突发事件造成的各种影响及程度。</w:t>
      </w:r>
    </w:p>
    <w:p>
      <w:pPr>
        <w:pStyle w:val="19"/>
        <w:spacing w:line="560" w:lineRule="exact"/>
        <w:rPr>
          <w:b/>
          <w:bCs/>
          <w:szCs w:val="24"/>
        </w:rPr>
      </w:pPr>
      <w:r>
        <w:rPr>
          <w:rFonts w:hint="eastAsia"/>
          <w:b/>
          <w:bCs/>
          <w:szCs w:val="24"/>
        </w:rPr>
        <w:t>2.通报协调</w:t>
      </w:r>
    </w:p>
    <w:p>
      <w:pPr>
        <w:pStyle w:val="19"/>
        <w:spacing w:line="560" w:lineRule="exact"/>
        <w:rPr>
          <w:rFonts w:ascii="Times New Roman" w:hAnsi="Times New Roman"/>
          <w:szCs w:val="24"/>
        </w:rPr>
      </w:pPr>
      <w:r>
        <w:rPr>
          <w:rFonts w:ascii="Times New Roman" w:hAnsi="Times New Roman"/>
          <w:szCs w:val="24"/>
        </w:rPr>
        <w:t>及时将突发事件调查核实及处置情况向</w:t>
      </w:r>
      <w:r>
        <w:rPr>
          <w:rFonts w:ascii="Times New Roman" w:hAnsi="Times New Roman" w:hint="eastAsia"/>
          <w:szCs w:val="24"/>
        </w:rPr>
        <w:t>乌鲁木齐海关</w:t>
      </w:r>
      <w:r>
        <w:rPr>
          <w:rFonts w:hint="eastAsia"/>
        </w:rPr>
        <w:t>应急指挥部</w:t>
      </w:r>
      <w:r>
        <w:rPr>
          <w:rFonts w:ascii="Times New Roman" w:hAnsi="Times New Roman"/>
          <w:szCs w:val="24"/>
        </w:rPr>
        <w:t>报告，依程序填写《进出口食品安全突发事件信息表》。</w:t>
      </w:r>
    </w:p>
    <w:p>
      <w:pPr>
        <w:pStyle w:val="19"/>
        <w:spacing w:line="560" w:lineRule="exact"/>
        <w:rPr>
          <w:b/>
          <w:bCs/>
          <w:szCs w:val="24"/>
        </w:rPr>
      </w:pPr>
      <w:r>
        <w:rPr>
          <w:rFonts w:hint="eastAsia"/>
          <w:b/>
          <w:bCs/>
          <w:szCs w:val="24"/>
        </w:rPr>
        <w:t>3.采取措施</w:t>
      </w:r>
    </w:p>
    <w:p>
      <w:pPr>
        <w:pStyle w:val="19"/>
        <w:spacing w:line="560" w:lineRule="exact"/>
        <w:rPr>
          <w:rFonts w:ascii="Times New Roman" w:hAnsi="Times New Roman"/>
          <w:szCs w:val="24"/>
        </w:rPr>
      </w:pPr>
      <w:r>
        <w:rPr>
          <w:rFonts w:ascii="Times New Roman" w:hAnsi="Times New Roman"/>
          <w:szCs w:val="24"/>
        </w:rPr>
        <w:t>在调查核实有关情况，并确定处置方案后，采取必要措施，最大限度地制止或防止事态进一步扩大。可分情况选择采取以下措施：</w:t>
      </w:r>
    </w:p>
    <w:p>
      <w:pPr>
        <w:pStyle w:val="19"/>
        <w:spacing w:line="560" w:lineRule="exact"/>
        <w:rPr>
          <w:rFonts w:ascii="Times New Roman" w:hAnsi="Times New Roman"/>
          <w:szCs w:val="24"/>
        </w:rPr>
      </w:pPr>
      <w:r>
        <w:rPr>
          <w:rFonts w:ascii="Times New Roman" w:hAnsi="Times New Roman"/>
          <w:szCs w:val="24"/>
        </w:rPr>
        <w:t>（1）对于涉及进口食品的安全质量突发事件，应立即暂停相关产品进口，对已运抵口岸尚未办理报关手续或已办理报关手续，尚未放行的，一律在口岸作退运或销毁处理；已进入国内市场的，要跟踪调查，采取封存、隔离、标识、抽样检测、召回、销毁处理等措施。对来自有关国家或地区的相关食品采取针对性查验，防止不合格产品进口；防止企业逃漏检行为；加强与公安边防等部门配合，打击非法进出境行为。</w:t>
      </w:r>
    </w:p>
    <w:p>
      <w:pPr>
        <w:pStyle w:val="19"/>
        <w:spacing w:line="560" w:lineRule="exact"/>
        <w:rPr>
          <w:rFonts w:ascii="Times New Roman" w:hAnsi="Times New Roman"/>
          <w:szCs w:val="24"/>
        </w:rPr>
      </w:pPr>
      <w:r>
        <w:rPr>
          <w:rFonts w:ascii="Times New Roman" w:hAnsi="Times New Roman"/>
          <w:szCs w:val="24"/>
        </w:rPr>
        <w:t>（2）对涉及出口食品的安全质量突发事件，要立即暂停相关企业产品的出口，已经出口的采取强制召回措施；情节严重的，商有关部门吊销企业生产经营许可证；加强对从事食品生产、加工或存放单位的监督检查；对未出口的产品采取封存、隔离、标识、抽样检测和销毁处理等措施。加强相关食品出口检验检疫，防止不合格产品出境；加强口岸查验，防止企业逃漏检行为。</w:t>
      </w:r>
    </w:p>
    <w:p>
      <w:pPr>
        <w:pStyle w:val="19"/>
        <w:spacing w:line="560" w:lineRule="exact"/>
        <w:rPr>
          <w:rFonts w:ascii="Times New Roman" w:hAnsi="Times New Roman"/>
          <w:szCs w:val="24"/>
        </w:rPr>
      </w:pPr>
      <w:r>
        <w:rPr>
          <w:rFonts w:ascii="Times New Roman" w:hAnsi="Times New Roman"/>
          <w:szCs w:val="24"/>
        </w:rPr>
        <w:t>（3）对国外退回的产品进行封存、隔离、标识、抽样检测和销毁处理等措施。</w:t>
      </w:r>
    </w:p>
    <w:p>
      <w:pPr>
        <w:pStyle w:val="19"/>
        <w:spacing w:line="560" w:lineRule="exact"/>
        <w:rPr>
          <w:rFonts w:ascii="Times New Roman" w:hAnsi="Times New Roman"/>
          <w:szCs w:val="24"/>
        </w:rPr>
      </w:pPr>
      <w:r>
        <w:rPr>
          <w:rFonts w:ascii="Times New Roman" w:hAnsi="Times New Roman"/>
          <w:szCs w:val="24"/>
        </w:rPr>
        <w:t>（4）根据突发事件应急处置进展情况，加强与有关国家或地区主管部门沟通，必要时组团赴有关国家或地区澄清和核实有关问题；认真组织和接待有关国家或地区主管部门专家的考察或调查，积极配合做好突发事件相关情况的调查。</w:t>
      </w:r>
    </w:p>
    <w:p>
      <w:pPr>
        <w:pStyle w:val="19"/>
        <w:spacing w:line="560" w:lineRule="exact"/>
        <w:rPr>
          <w:b/>
          <w:bCs/>
          <w:szCs w:val="24"/>
        </w:rPr>
      </w:pPr>
      <w:r>
        <w:rPr>
          <w:rFonts w:hint="eastAsia"/>
          <w:b/>
          <w:bCs/>
          <w:szCs w:val="24"/>
        </w:rPr>
        <w:t>4.应急处置效果评估</w:t>
      </w:r>
    </w:p>
    <w:p>
      <w:pPr>
        <w:pStyle w:val="19"/>
        <w:spacing w:line="560" w:lineRule="exact"/>
        <w:rPr>
          <w:rFonts w:ascii="Times New Roman" w:hAnsi="Times New Roman"/>
          <w:szCs w:val="24"/>
        </w:rPr>
      </w:pPr>
      <w:r>
        <w:rPr>
          <w:rFonts w:ascii="Times New Roman" w:hAnsi="Times New Roman"/>
          <w:szCs w:val="24"/>
        </w:rPr>
        <w:t>（1）对每起突发事件应急处置的及时性、有效性进行专门评估，总结经验和教训，不断提高应对突发事件的能力与水平。</w:t>
      </w:r>
    </w:p>
    <w:p>
      <w:pPr>
        <w:pStyle w:val="19"/>
        <w:spacing w:line="560" w:lineRule="exact"/>
        <w:rPr>
          <w:rFonts w:ascii="Times New Roman" w:hAnsi="Times New Roman"/>
          <w:szCs w:val="24"/>
        </w:rPr>
      </w:pPr>
      <w:r>
        <w:rPr>
          <w:rFonts w:ascii="Times New Roman" w:hAnsi="Times New Roman"/>
          <w:szCs w:val="24"/>
        </w:rPr>
        <w:t>（2）对突发事件暴露出的检验检疫问题及隐患要高度重视，要在应急处置措施基础上不断总结与完善，建立长效解决办法与机制。并根据情况，向</w:t>
      </w:r>
      <w:r>
        <w:rPr>
          <w:rFonts w:ascii="Times New Roman" w:hAnsi="Times New Roman" w:hint="eastAsia"/>
          <w:szCs w:val="24"/>
        </w:rPr>
        <w:t>乌鲁木齐海关</w:t>
      </w:r>
      <w:r>
        <w:rPr>
          <w:rFonts w:ascii="Times New Roman" w:hAnsi="Times New Roman"/>
          <w:szCs w:val="24"/>
        </w:rPr>
        <w:t>报告相关情况，提出加强和改进工作的建议。</w:t>
      </w:r>
    </w:p>
    <w:p>
      <w:pPr>
        <w:pStyle w:val="19"/>
        <w:spacing w:line="560" w:lineRule="exact"/>
        <w:rPr>
          <w:b/>
          <w:bCs/>
          <w:szCs w:val="24"/>
        </w:rPr>
      </w:pPr>
      <w:r>
        <w:rPr>
          <w:rFonts w:hint="eastAsia"/>
          <w:b/>
          <w:bCs/>
          <w:szCs w:val="24"/>
        </w:rPr>
        <w:t>（三）行动终止</w:t>
      </w:r>
    </w:p>
    <w:p>
      <w:pPr>
        <w:pStyle w:val="19"/>
        <w:spacing w:line="560" w:lineRule="exact"/>
        <w:rPr>
          <w:rFonts w:ascii="Times New Roman" w:hAnsi="Times New Roman"/>
          <w:szCs w:val="24"/>
        </w:rPr>
      </w:pPr>
      <w:r>
        <w:rPr>
          <w:rFonts w:ascii="Times New Roman" w:hAnsi="Times New Roman"/>
          <w:szCs w:val="24"/>
        </w:rPr>
        <w:t>经现场检测进出口食品安全突发事件隐患或相关危险因素消除，评价确无危害和风险后，提出终止行动的建议上报</w:t>
      </w:r>
      <w:r>
        <w:rPr>
          <w:rFonts w:ascii="Times New Roman" w:hAnsi="Times New Roman" w:hint="eastAsia"/>
          <w:szCs w:val="24"/>
        </w:rPr>
        <w:t>总关</w:t>
      </w:r>
      <w:r>
        <w:rPr>
          <w:rFonts w:ascii="Times New Roman" w:hAnsi="Times New Roman"/>
          <w:szCs w:val="24"/>
        </w:rPr>
        <w:t>。终止行动由</w:t>
      </w:r>
      <w:r>
        <w:rPr>
          <w:rFonts w:ascii="Times New Roman" w:hAnsi="Times New Roman" w:hint="eastAsia"/>
          <w:szCs w:val="24"/>
        </w:rPr>
        <w:t>总关</w:t>
      </w:r>
      <w:r>
        <w:rPr>
          <w:rFonts w:ascii="Times New Roman" w:hAnsi="Times New Roman"/>
          <w:szCs w:val="24"/>
        </w:rPr>
        <w:t>应急处置领导小组批准后才能采取终止行动。</w:t>
      </w:r>
    </w:p>
    <w:p>
      <w:pPr>
        <w:spacing w:line="560" w:lineRule="exact"/>
        <w:ind w:firstLineChars="200" w:firstLine="640"/>
        <w:rPr>
          <w:rFonts w:eastAsia="方正仿宋_GBK"/>
          <w:bCs/>
          <w:sz w:val="32"/>
          <w:szCs w:val="32"/>
        </w:rPr>
      </w:pPr>
      <w:r>
        <w:rPr>
          <w:rFonts w:eastAsia="方正仿宋_GBK"/>
          <w:bCs/>
          <w:sz w:val="32"/>
          <w:szCs w:val="32"/>
        </w:rPr>
        <w:t>本应急预案自发布之日起施行。</w:t>
      </w:r>
    </w:p>
    <w:p>
      <w:pPr>
        <w:spacing w:line="560" w:lineRule="exact"/>
        <w:ind w:firstLineChars="200" w:firstLine="640"/>
        <w:rPr>
          <w:rFonts w:ascii="方正仿宋简体" w:eastAsia="宋体" w:cs="方正仿宋简体" w:hAnsi="方正仿宋简体"/>
          <w:sz w:val="32"/>
          <w:szCs w:val="32"/>
        </w:rPr>
      </w:pPr>
    </w:p>
    <w:p>
      <w:pPr>
        <w:spacing w:line="560" w:lineRule="exact"/>
        <w:ind w:firstLineChars="200" w:firstLine="640"/>
        <w:rPr>
          <w:rFonts w:ascii="方正仿宋简体" w:eastAsia="宋体" w:cs="方正仿宋简体" w:hAnsi="方正仿宋简体"/>
          <w:sz w:val="32"/>
          <w:szCs w:val="32"/>
        </w:rPr>
      </w:pPr>
    </w:p>
    <w:p>
      <w:pPr>
        <w:pStyle w:val="22"/>
        <w:spacing w:line="560" w:lineRule="exact"/>
        <w:ind w:firstLineChars="200" w:firstLine="640"/>
        <w:rPr>
          <w:rFonts w:eastAsia="方正仿宋_GBK" w:cs="方正仿宋简体"/>
          <w:sz w:val="32"/>
        </w:rPr>
      </w:pPr>
    </w:p>
    <w:p>
      <w:pPr>
        <w:pStyle w:val="22"/>
        <w:spacing w:line="560" w:lineRule="exact"/>
        <w:ind w:firstLineChars="200" w:firstLine="640"/>
        <w:rPr>
          <w:rFonts w:eastAsia="方正仿宋_GBK" w:cs="方正仿宋简体"/>
          <w:sz w:val="32"/>
        </w:rPr>
      </w:pPr>
    </w:p>
    <w:p>
      <w:pPr>
        <w:pStyle w:val="22"/>
        <w:spacing w:line="560" w:lineRule="exact"/>
        <w:ind w:firstLineChars="200" w:firstLine="640"/>
        <w:rPr>
          <w:rFonts w:eastAsia="方正仿宋_GBK" w:cs="方正仿宋简体"/>
          <w:sz w:val="32"/>
        </w:rPr>
      </w:pPr>
    </w:p>
    <w:p>
      <w:pPr>
        <w:pStyle w:val="22"/>
        <w:spacing w:line="560" w:lineRule="exact"/>
        <w:ind w:firstLineChars="200" w:firstLine="640"/>
        <w:rPr>
          <w:rFonts w:eastAsia="方正仿宋_GBK" w:cs="方正仿宋简体"/>
          <w:sz w:val="32"/>
        </w:rPr>
      </w:pPr>
    </w:p>
    <w:p>
      <w:pPr>
        <w:pStyle w:val="22"/>
        <w:spacing w:line="560" w:lineRule="exact"/>
        <w:ind w:firstLineChars="200" w:firstLine="640"/>
        <w:rPr>
          <w:rFonts w:eastAsia="方正仿宋_GBK" w:cs="方正仿宋简体"/>
          <w:sz w:val="32"/>
        </w:rPr>
      </w:pPr>
    </w:p>
    <w:p>
      <w:pPr>
        <w:pStyle w:val="19"/>
        <w:spacing w:line="560" w:lineRule="exact"/>
        <w:ind w:firstLineChars="0" w:firstLine="0"/>
        <w:rPr>
          <w:rFonts w:ascii="方正仿宋简体" w:eastAsia="宋体" w:cs="方正仿宋简体" w:hAnsi="方正仿宋简体"/>
        </w:rPr>
      </w:pPr>
    </w:p>
    <w:p>
      <w:pPr>
        <w:pStyle w:val="19"/>
        <w:spacing w:line="560" w:lineRule="exact"/>
        <w:ind w:firstLineChars="0" w:firstLine="0"/>
        <w:rPr>
          <w:rFonts w:ascii="方正仿宋简体" w:eastAsia="宋体" w:cs="方正仿宋简体" w:hAnsi="方正仿宋简体"/>
        </w:rPr>
      </w:pPr>
    </w:p>
    <w:p/>
    <w:sectPr>
      <w:foot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方正仿宋简体">
    <w:altName w:val="Times New Roman"/>
    <w:panose1 w:val="00000000000000000000"/>
    <w:charset w:val="00"/>
    <w:family w:val="auto"/>
    <w:pitch w:val="variable"/>
    <w:sig w:usb0="00000000" w:usb1="00000000" w:usb2="00000000" w:usb3="00000000" w:csb0="00000000" w:csb1="00000000"/>
  </w:font>
  <w:font w:name="方正黑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方正楷体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w:p>
    <w:pPr>
      <w:pStyle w:val="16"/>
      <w:tabs>
        <w:tab w:val="center" w:pos="4153"/>
        <w:tab w:val="right" w:pos="8306"/>
      </w:tabs>
      <w:jc w:val="right"/>
    </w:pPr>
    <w:r>
      <w:fldChar w:fldCharType="begin"/>
    </w:r>
    <w:r>
      <w:instrText xml:space="preserve"> PAGE   \* MERGEFORMAT </w:instrText>
    </w:r>
    <w:r>
      <w:fldChar w:fldCharType="separate"/>
    </w:r>
    <w:r>
      <w:rPr>
        <w:lang w:val="zh-CN"/>
      </w:rPr>
      <w:t>3</w:t>
    </w:r>
    <w:r>
      <w:fldChar w:fldCharType="end"/>
    </w:r>
  </w:p>
  <w:p>
    <w:pPr>
      <w:pStyle w:val="16"/>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paragraph" w:customStyle="1" w:styleId="17">
    <w:name w:val="样式 2 小四"/>
    <w:next w:val="28"/>
    <w:pPr>
      <w:widowControl w:val="0"/>
      <w:spacing w:line="360" w:lineRule="auto"/>
      <w:jc w:val="both"/>
    </w:pPr>
    <w:rPr>
      <w:rFonts w:ascii="Times New Roman" w:eastAsia="宋体" w:cs="Times New Roman" w:hAnsi="Times New Roman"/>
      <w:kern w:val="2"/>
      <w:sz w:val="24"/>
      <w:szCs w:val="24"/>
      <w:lang w:val="en-US" w:eastAsia="zh-CN" w:bidi="ar-SA"/>
    </w:rPr>
  </w:style>
  <w:style w:type="paragraph" w:customStyle="1" w:styleId="18">
    <w:name w:val="样式 13 10 磅"/>
    <w:next w:val="29"/>
    <w:pPr>
      <w:widowControl w:val="0"/>
      <w:spacing w:beforeLines="100" w:before="100" w:after="20" w:line="360" w:lineRule="auto"/>
      <w:jc w:val="both"/>
    </w:pPr>
    <w:rPr>
      <w:rFonts w:ascii="Calibri" w:eastAsia="宋体" w:cs="Times New Roman" w:hAnsi="Calibri"/>
      <w:kern w:val="2"/>
      <w:sz w:val="21"/>
      <w:szCs w:val="22"/>
      <w:lang w:val="en-US" w:eastAsia="zh-CN" w:bidi="ar-SA"/>
    </w:rPr>
  </w:style>
  <w:style w:type="paragraph" w:customStyle="1" w:styleId="19">
    <w:name w:val="样式 3 三号"/>
    <w:pPr>
      <w:widowControl w:val="0"/>
      <w:adjustRightInd w:val="0"/>
      <w:ind w:firstLineChars="200" w:firstLine="200"/>
      <w:jc w:val="both"/>
    </w:pPr>
    <w:rPr>
      <w:rFonts w:ascii="方正仿宋_GBK" w:eastAsia="方正仿宋_GBK" w:cs="Times New Roman"/>
      <w:kern w:val="2"/>
      <w:sz w:val="32"/>
      <w:szCs w:val="32"/>
      <w:lang w:val="en-US" w:eastAsia="zh-CN" w:bidi="ar-SA"/>
    </w:rPr>
  </w:style>
  <w:style w:type="paragraph" w:customStyle="1" w:styleId="20">
    <w:name w:val="样式 4 三号"/>
    <w:next w:val="29"/>
    <w:pPr>
      <w:keepNext/>
      <w:keepLines/>
      <w:widowControl w:val="0"/>
      <w:ind w:firstLineChars="200" w:firstLine="200"/>
      <w:jc w:val="both"/>
      <w:outlineLvl w:val="1"/>
    </w:pPr>
    <w:rPr>
      <w:rFonts w:ascii="Times New Roman" w:eastAsia="方正楷体_GBK" w:cs="Times New Roman" w:hAnsi="Times New Roman"/>
      <w:b/>
      <w:kern w:val="2"/>
      <w:sz w:val="32"/>
      <w:szCs w:val="32"/>
      <w:lang w:val="en-US" w:eastAsia="zh-CN" w:bidi="ar-SA"/>
    </w:rPr>
  </w:style>
  <w:style w:type="paragraph" w:customStyle="1" w:styleId="21">
    <w:name w:val="样式 二号"/>
    <w:next w:val="16"/>
    <w:pPr>
      <w:keepNext/>
      <w:keepLines/>
      <w:widowControl w:val="0"/>
      <w:spacing w:before="340" w:after="330" w:line="576" w:lineRule="auto"/>
      <w:jc w:val="both"/>
      <w:outlineLvl w:val="0"/>
    </w:pPr>
    <w:rPr>
      <w:rFonts w:ascii="Times New Roman" w:eastAsia="宋体" w:cs="Times New Roman" w:hAnsi="Times New Roman"/>
      <w:b/>
      <w:bCs/>
      <w:kern w:val="44"/>
      <w:sz w:val="44"/>
      <w:szCs w:val="44"/>
      <w:lang w:val="en-US" w:eastAsia="zh-CN" w:bidi="ar-SA"/>
    </w:rPr>
  </w:style>
  <w:style w:type="paragraph" w:customStyle="1" w:styleId="22">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23">
    <w:name w:val="样式 1 小四"/>
    <w:pPr>
      <w:widowControl w:val="0"/>
      <w:spacing w:line="360" w:lineRule="auto"/>
      <w:jc w:val="both"/>
    </w:pPr>
    <w:rPr>
      <w:rFonts w:ascii="Times New Roman" w:eastAsia="宋体" w:cs="Times New Roman" w:hAnsi="Times New Roman"/>
      <w:kern w:val="2"/>
      <w:sz w:val="24"/>
      <w:szCs w:val="24"/>
      <w:lang w:val="en-US" w:eastAsia="zh-CN" w:bidi="ar-SA"/>
    </w:rPr>
  </w:style>
  <w:style w:type="paragraph" w:customStyle="1" w:styleId="24">
    <w:name w:val="样式 4 小四"/>
    <w:pPr>
      <w:widowControl w:val="0"/>
      <w:spacing w:line="360" w:lineRule="auto"/>
      <w:jc w:val="both"/>
    </w:pPr>
    <w:rPr>
      <w:rFonts w:ascii="Times New Roman" w:eastAsia="宋体" w:cs="Times New Roman" w:hAnsi="Times New Roman"/>
      <w:kern w:val="2"/>
      <w:sz w:val="24"/>
      <w:szCs w:val="24"/>
      <w:lang w:val="en-US" w:eastAsia="zh-CN" w:bidi="ar-SA"/>
    </w:rPr>
  </w:style>
  <w:style w:type="paragraph" w:customStyle="1" w:styleId="25">
    <w:name w:val="样式 2 10 磅"/>
    <w:pPr>
      <w:widowControl w:val="0"/>
      <w:spacing w:beforeLines="100" w:before="100" w:after="20" w:line="360" w:lineRule="auto"/>
      <w:jc w:val="both"/>
    </w:pPr>
    <w:rPr>
      <w:rFonts w:ascii="Calibri" w:eastAsia="宋体" w:cs="Times New Roman" w:hAnsi="Calibri"/>
      <w:kern w:val="2"/>
      <w:sz w:val="21"/>
      <w:szCs w:val="22"/>
      <w:lang w:val="en-US" w:eastAsia="zh-CN" w:bidi="ar-SA"/>
    </w:rPr>
  </w:style>
  <w:style w:type="paragraph" w:customStyle="1" w:styleId="26">
    <w:name w:val="样式 4 10 磅"/>
    <w:pPr>
      <w:widowControl w:val="0"/>
      <w:spacing w:beforeLines="100" w:before="100" w:after="20" w:line="360" w:lineRule="auto"/>
      <w:jc w:val="both"/>
    </w:pPr>
    <w:rPr>
      <w:rFonts w:ascii="Calibri" w:eastAsia="宋体" w:cs="Times New Roman" w:hAnsi="Calibri"/>
      <w:kern w:val="2"/>
      <w:sz w:val="21"/>
      <w:szCs w:val="22"/>
      <w:lang w:val="en-US" w:eastAsia="zh-CN" w:bidi="ar-SA"/>
    </w:rPr>
  </w:style>
  <w:style w:type="paragraph" w:customStyle="1" w:styleId="27">
    <w:name w:val="样式 5 10 磅"/>
    <w:pPr>
      <w:widowControl w:val="0"/>
      <w:jc w:val="both"/>
    </w:pPr>
    <w:rPr>
      <w:rFonts w:ascii="Times New Roman" w:eastAsia="宋体" w:cs="Times New Roman" w:hAnsi="Times New Roman"/>
      <w:kern w:val="2"/>
      <w:sz w:val="21"/>
      <w:szCs w:val="24"/>
      <w:lang w:val="en-US" w:eastAsia="zh-CN" w:bidi="ar-SA"/>
    </w:rPr>
  </w:style>
  <w:style w:type="paragraph" w:styleId="28">
    <w:name w:val="index 8"/>
    <w:basedOn w:val="0"/>
    <w:autoRedefine/>
    <w:next w:val="0"/>
    <w:pPr>
      <w:ind w:leftChars="1400" w:left="1400"/>
    </w:pPr>
  </w:style>
  <w:style w:type="paragraph" w:styleId="29">
    <w:name w:val="index 9"/>
    <w:basedOn w:val="0"/>
    <w:autoRedefine/>
    <w:next w:val="0"/>
    <w:pPr>
      <w:ind w:leftChars="1600" w:left="1600"/>
    </w:pPr>
  </w:style>
  <w:style w:type="paragraph" w:customStyle="1" w:styleId="30">
    <w:name w:val="样式 小四"/>
    <w:pPr>
      <w:widowControl w:val="0"/>
      <w:spacing w:line="360" w:lineRule="auto"/>
      <w:jc w:val="both"/>
    </w:pPr>
    <w:rPr>
      <w:rFonts w:ascii="Times New Roman" w:eastAsia="宋体" w:cs="Times New Roman" w:hAnsi="Times New Roman"/>
      <w:kern w:val="2"/>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114</TotalTime>
  <Application>Yozo_Office</Application>
  <Pages>6</Pages>
  <Words>2692</Words>
  <Characters>2696</Characters>
  <Lines>144</Lines>
  <Paragraphs>52</Paragraphs>
  <CharactersWithSpaces>2698</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Windows 用户</dc:creator>
  <cp:lastModifiedBy>王子瑜</cp:lastModifiedBy>
  <cp:revision>13</cp:revision>
  <cp:lastPrinted>2020-05-19T10:53:00Z</cp:lastPrinted>
  <dcterms:created xsi:type="dcterms:W3CDTF">2020-05-10T13:30:00Z</dcterms:created>
  <dcterms:modified xsi:type="dcterms:W3CDTF">2020-10-20T06:22:34Z</dcterms:modified>
</cp:coreProperties>
</file>