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tabs>
          <w:tab w:val="left" w:pos="993"/>
          <w:tab w:val="left" w:pos="1134"/>
          <w:tab w:val="left" w:pos="1418"/>
        </w:tabs>
        <w:spacing w:line="560" w:lineRule="exact"/>
        <w:jc w:val="center"/>
        <w:rPr>
          <w:rFonts w:ascii="方正小标宋_GBK" w:eastAsia="方正小标宋_GBK" w:cs="方正小标宋_GBK"/>
          <w:sz w:val="44"/>
          <w:szCs w:val="44"/>
        </w:rPr>
      </w:pPr>
    </w:p>
    <w:p>
      <w:pPr>
        <w:tabs>
          <w:tab w:val="left" w:pos="993"/>
          <w:tab w:val="left" w:pos="1134"/>
          <w:tab w:val="left" w:pos="1418"/>
        </w:tabs>
        <w:spacing w:line="560" w:lineRule="exact"/>
        <w:jc w:val="center"/>
        <w:rPr>
          <w:rFonts w:ascii="方正小标宋_GBK" w:eastAsia="方正小标宋_GBK" w:cs="方正小标宋_GBK" w:hint="eastAsia"/>
          <w:sz w:val="44"/>
          <w:szCs w:val="44"/>
        </w:rPr>
      </w:pPr>
      <w:r>
        <w:rPr>
          <w:rFonts w:ascii="方正小标宋_GBK" w:eastAsia="方正小标宋_GBK" w:cs="方正小标宋_GBK" w:hAnsi="Times New Roman" w:hint="eastAsia"/>
          <w:sz w:val="44"/>
          <w:szCs w:val="44"/>
          <w:lang w:val="en-US" w:eastAsia="zh-CN"/>
        </w:rPr>
        <w:t>乌鲁木齐海关技术中心2026</w:t>
      </w:r>
      <w:r>
        <w:rPr>
          <w:rFonts w:ascii="方正小标宋_GBK" w:eastAsia="方正小标宋_GBK" w:cs="方正小标宋_GBK" w:hAnsi="Times New Roman" w:hint="eastAsia"/>
          <w:sz w:val="44"/>
          <w:szCs w:val="44"/>
        </w:rPr>
        <w:t>年</w:t>
      </w:r>
      <w:r>
        <w:rPr>
          <w:rFonts w:ascii="方正小标宋_GBK" w:eastAsia="方正小标宋_GBK" w:cs="方正小标宋_GBK" w:hAnsi="Times New Roman" w:hint="eastAsia"/>
          <w:sz w:val="44"/>
          <w:szCs w:val="44"/>
          <w:lang w:val="en-US" w:eastAsia="zh-CN"/>
        </w:rPr>
        <w:t>10月-12月</w:t>
      </w:r>
      <w:r>
        <w:rPr>
          <w:rFonts w:ascii="方正小标宋_GBK" w:eastAsia="方正小标宋_GBK" w:cs="方正小标宋_GBK" w:hint="eastAsia"/>
          <w:sz w:val="44"/>
          <w:szCs w:val="44"/>
        </w:rPr>
        <w:t>政府采购意向</w:t>
      </w:r>
    </w:p>
    <w:p>
      <w:pPr>
        <w:tabs>
          <w:tab w:val="left" w:pos="993"/>
          <w:tab w:val="left" w:pos="1134"/>
          <w:tab w:val="left" w:pos="1418"/>
        </w:tabs>
        <w:spacing w:line="560" w:lineRule="exact"/>
        <w:ind w:firstLineChars="200" w:firstLine="640"/>
        <w:jc w:val="left"/>
        <w:rPr>
          <w:rFonts w:ascii="仿宋_GB2312" w:eastAsia="仿宋_GB2312" w:cs="仿宋_GB2312"/>
          <w:sz w:val="32"/>
          <w:szCs w:val="32"/>
        </w:rPr>
      </w:pPr>
      <w:bookmarkStart w:id="0" w:name="_GoBack"/>
      <w:bookmarkEnd w:id="0"/>
    </w:p>
    <w:p>
      <w:pPr>
        <w:tabs>
          <w:tab w:val="left" w:pos="993"/>
          <w:tab w:val="left" w:pos="1134"/>
          <w:tab w:val="left" w:pos="1418"/>
        </w:tabs>
        <w:spacing w:line="560" w:lineRule="exact"/>
        <w:ind w:firstLineChars="200" w:firstLine="640"/>
        <w:rPr>
          <w:rFonts w:ascii="Times New Roman" w:eastAsia="方正仿宋_GBK" w:cs="仿宋_GB2312" w:hAnsi="Times New Roman" w:hint="eastAsia"/>
          <w:sz w:val="32"/>
          <w:szCs w:val="32"/>
        </w:rPr>
      </w:pPr>
      <w:r>
        <w:rPr>
          <w:rFonts w:ascii="Times New Roman" w:eastAsia="方正仿宋_GBK" w:cs="仿宋_GB2312" w:hAnsi="Times New Roman" w:hint="eastAsia"/>
          <w:sz w:val="32"/>
          <w:szCs w:val="32"/>
          <w:lang w:eastAsia="zh-CN"/>
        </w:rPr>
        <w:t>为便于供应商及时了解政府采购信息，</w:t>
      </w:r>
      <w:r>
        <w:rPr>
          <w:rFonts w:ascii="Times New Roman" w:eastAsia="方正仿宋_GBK" w:cs="仿宋_GB2312" w:hAnsi="Times New Roman" w:hint="eastAsia"/>
          <w:sz w:val="32"/>
          <w:szCs w:val="32"/>
        </w:rPr>
        <w:t>根据《财政部关于开展政府采购意向公开工作的通知》</w:t>
      </w:r>
      <w:r>
        <w:rPr>
          <w:rFonts w:ascii="Times New Roman" w:eastAsia="方正仿宋_GBK" w:cs="仿宋_GB2312" w:hAnsi="Times New Roman" w:hint="eastAsia"/>
          <w:sz w:val="32"/>
          <w:szCs w:val="32"/>
          <w:lang w:val="en-US" w:eastAsia="zh-CN"/>
        </w:rPr>
        <w:t>(财库〔2020〕10号)</w:t>
      </w:r>
      <w:r>
        <w:rPr>
          <w:rFonts w:ascii="Times New Roman" w:eastAsia="方正仿宋_GBK" w:cs="仿宋_GB2312" w:hAnsi="Times New Roman" w:hint="eastAsia"/>
          <w:sz w:val="32"/>
          <w:szCs w:val="32"/>
        </w:rPr>
        <w:t>等有关规定，现将</w:t>
      </w:r>
      <w:r>
        <w:rPr>
          <w:rFonts w:ascii="Times New Roman" w:eastAsia="方正仿宋_GBK" w:cs="仿宋_GB2312" w:hAnsi="Times New Roman" w:hint="eastAsia"/>
          <w:sz w:val="32"/>
          <w:szCs w:val="32"/>
          <w:lang w:val="en-US" w:eastAsia="zh-CN"/>
        </w:rPr>
        <w:t>乌鲁木齐海关技术中心</w:t>
      </w:r>
      <w:r>
        <w:rPr>
          <w:rFonts w:ascii="Times New Roman" w:eastAsia="方正仿宋_GBK" w:cs="仿宋_GB2312" w:hAnsi="Times New Roman" w:hint="eastAsia"/>
          <w:sz w:val="32"/>
          <w:szCs w:val="32"/>
          <w:u w:val="none"/>
          <w:lang w:val="en-US" w:eastAsia="zh-CN"/>
        </w:rPr>
        <w:t>2026</w:t>
      </w:r>
      <w:r>
        <w:rPr>
          <w:rFonts w:ascii="Times New Roman" w:eastAsia="方正仿宋_GBK" w:cs="仿宋_GB2312" w:hAnsi="Times New Roman" w:hint="eastAsia"/>
          <w:sz w:val="32"/>
          <w:szCs w:val="32"/>
        </w:rPr>
        <w:t>年</w:t>
      </w:r>
      <w:r>
        <w:rPr>
          <w:rFonts w:ascii="Times New Roman" w:eastAsia="方正仿宋_GBK" w:cs="仿宋_GB2312" w:hAnsi="Times New Roman"/>
          <w:sz w:val="32"/>
          <w:szCs w:val="32"/>
          <w:lang w:val="en-US" w:eastAsia="zh-CN"/>
        </w:rPr>
        <w:t>10月-12月</w:t>
      </w:r>
      <w:r>
        <w:rPr>
          <w:rFonts w:ascii="Times New Roman" w:eastAsia="方正仿宋_GBK" w:cs="仿宋_GB2312" w:hAnsi="Times New Roman" w:hint="eastAsia"/>
          <w:sz w:val="32"/>
          <w:szCs w:val="32"/>
        </w:rPr>
        <w:t>采购意向公开如下：</w:t>
      </w:r>
    </w:p>
    <w:p>
      <w:pPr>
        <w:tabs>
          <w:tab w:val="left" w:pos="993"/>
          <w:tab w:val="left" w:pos="1134"/>
          <w:tab w:val="left" w:pos="1418"/>
        </w:tabs>
        <w:spacing w:line="600" w:lineRule="exact"/>
        <w:ind w:firstLineChars="200" w:firstLine="640"/>
        <w:rPr>
          <w:rFonts w:ascii="仿宋_GB2312" w:eastAsia="仿宋_GB2312" w:cs="仿宋_GB2312" w:hint="eastAsia"/>
          <w:sz w:val="32"/>
          <w:szCs w:val="32"/>
        </w:rPr>
      </w:pPr>
    </w:p>
    <w:tbl>
      <w:tblPr>
        <w:jc w:val="left"/>
        <w:tblInd w:w="0" w:type="dxa"/>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4"/>
        <w:gridCol w:w="1275"/>
        <w:gridCol w:w="3503"/>
        <w:gridCol w:w="1321"/>
        <w:gridCol w:w="1749"/>
        <w:gridCol w:w="719"/>
      </w:tblGrid>
      <w:tr>
        <w:tc>
          <w:tcPr>
            <w:tcW w:w="534" w:type="dxa"/>
            <w:vAlign w:val="center"/>
          </w:tcPr>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序号</w:t>
            </w:r>
          </w:p>
        </w:tc>
        <w:tc>
          <w:tcPr>
            <w:tcW w:w="1275" w:type="dxa"/>
            <w:vAlign w:val="center"/>
          </w:tcPr>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采购项目</w:t>
            </w:r>
          </w:p>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名称</w:t>
            </w:r>
          </w:p>
        </w:tc>
        <w:tc>
          <w:tcPr>
            <w:tcW w:w="3503" w:type="dxa"/>
            <w:vAlign w:val="center"/>
          </w:tcPr>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采购需求概况</w:t>
            </w:r>
          </w:p>
        </w:tc>
        <w:tc>
          <w:tcPr>
            <w:tcW w:w="1321" w:type="dxa"/>
            <w:vAlign w:val="center"/>
          </w:tcPr>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预算金额</w:t>
            </w:r>
          </w:p>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（万元）</w:t>
            </w:r>
          </w:p>
        </w:tc>
        <w:tc>
          <w:tcPr>
            <w:tcW w:w="1749" w:type="dxa"/>
            <w:vAlign w:val="center"/>
          </w:tcPr>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预计采购时间</w:t>
            </w:r>
          </w:p>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（填写到月）</w:t>
            </w:r>
          </w:p>
        </w:tc>
        <w:tc>
          <w:tcPr>
            <w:tcW w:w="719" w:type="dxa"/>
            <w:vAlign w:val="center"/>
          </w:tcPr>
          <w:p>
            <w:pPr>
              <w:tabs>
                <w:tab w:val="left" w:pos="993"/>
                <w:tab w:val="left" w:pos="1134"/>
                <w:tab w:val="left" w:pos="1418"/>
              </w:tabs>
              <w:spacing w:line="440" w:lineRule="exact"/>
              <w:jc w:val="center"/>
              <w:rPr>
                <w:rFonts w:ascii="宋体" w:eastAsia="宋体" w:cs="仿宋_GB2312"/>
                <w:b/>
                <w:bCs/>
                <w:sz w:val="24"/>
                <w:szCs w:val="32"/>
              </w:rPr>
            </w:pPr>
            <w:r>
              <w:rPr>
                <w:rFonts w:ascii="宋体" w:eastAsia="宋体" w:cs="仿宋_GB2312" w:hint="eastAsia"/>
                <w:b/>
                <w:bCs/>
                <w:sz w:val="24"/>
                <w:szCs w:val="32"/>
              </w:rPr>
              <w:t>备注</w:t>
            </w:r>
          </w:p>
        </w:tc>
      </w:tr>
      <w:tr>
        <w:trPr>
          <w:trHeight w:val="3255"/>
        </w:trPr>
        <w:tc>
          <w:tcPr>
            <w:tcW w:w="534" w:type="dxa"/>
            <w:vAlign w:val="center"/>
          </w:tcPr>
          <w:p>
            <w:pPr>
              <w:tabs>
                <w:tab w:val="left" w:pos="993"/>
                <w:tab w:val="left" w:pos="1134"/>
                <w:tab w:val="left" w:pos="1418"/>
              </w:tabs>
              <w:spacing w:line="400" w:lineRule="exact"/>
              <w:rPr>
                <w:rFonts w:ascii="仿宋_GB2312" w:eastAsia="仿宋_GB2312" w:cs="仿宋_GB2312" w:hint="eastAsia"/>
                <w:sz w:val="24"/>
                <w:szCs w:val="32"/>
                <w:lang w:val="en-US" w:eastAsia="zh-CN"/>
              </w:rPr>
            </w:pPr>
            <w:r>
              <w:rPr>
                <w:rFonts w:ascii="Times New Roman" w:eastAsia="方正仿宋_GBK" w:cs="仿宋_GB2312" w:hAnsi="Times New Roman" w:hint="eastAsia"/>
                <w:sz w:val="32"/>
                <w:szCs w:val="32"/>
                <w:lang w:val="en-US"/>
              </w:rPr>
              <w:t>1</w:t>
            </w:r>
          </w:p>
        </w:tc>
        <w:tc>
          <w:tcPr>
            <w:tcW w:w="1275" w:type="dxa"/>
            <w:tcBorders>
              <w:top w:val="single" w:sz="4" w:space="0" w:color="auto"/>
              <w:left w:val="single" w:sz="4" w:space="0" w:color="auto"/>
              <w:right w:val="single" w:sz="4" w:space="0" w:color="auto"/>
            </w:tcBorders>
            <w:vAlign w:val="center"/>
          </w:tcPr>
          <w:p>
            <w:pPr>
              <w:tabs>
                <w:tab w:val="left" w:pos="993"/>
                <w:tab w:val="left" w:pos="1134"/>
                <w:tab w:val="left" w:pos="1418"/>
              </w:tabs>
              <w:spacing w:line="400" w:lineRule="exact"/>
              <w:rPr>
                <w:rFonts w:ascii="仿宋_GB2312" w:eastAsia="仿宋_GB2312" w:cs="仿宋_GB2312"/>
                <w:sz w:val="24"/>
                <w:szCs w:val="32"/>
                <w:lang w:val="en-US" w:eastAsia="zh-CN"/>
              </w:rPr>
            </w:pPr>
            <w:r>
              <w:rPr>
                <w:rFonts w:ascii="Times New Roman" w:eastAsia="方正仿宋_GBK" w:cs="仿宋_GB2312" w:hAnsi="Times New Roman" w:hint="eastAsia"/>
                <w:sz w:val="32"/>
                <w:szCs w:val="32"/>
                <w:lang w:eastAsia="zh-CN"/>
              </w:rPr>
              <w:t>乌鲁木齐海关技术中心进境水生动物监管场地备案技术支撑及检测能力扩项设备购置项目</w:t>
            </w:r>
          </w:p>
        </w:tc>
        <w:tc>
          <w:tcPr>
            <w:tcW w:w="3503" w:type="dxa"/>
            <w:tcBorders>
              <w:top w:val="single" w:sz="4" w:space="0" w:color="auto"/>
              <w:left w:val="single" w:sz="4" w:space="0" w:color="auto"/>
              <w:right w:val="single" w:sz="4" w:space="0" w:color="auto"/>
            </w:tcBorders>
            <w:vAlign w:val="center"/>
          </w:tcPr>
          <w:p>
            <w:pPr>
              <w:tabs>
                <w:tab w:val="left" w:pos="993"/>
                <w:tab w:val="left" w:pos="1134"/>
                <w:tab w:val="left" w:pos="1418"/>
              </w:tabs>
              <w:spacing w:line="400" w:lineRule="exact"/>
              <w:rPr>
                <w:rFonts w:ascii="仿宋_GB2312" w:eastAsia="仿宋_GB2312" w:cs="仿宋_GB2312"/>
                <w:sz w:val="24"/>
                <w:szCs w:val="32"/>
                <w:lang w:val="en-US" w:eastAsia="zh-CN"/>
              </w:rPr>
            </w:pPr>
            <w:r>
              <w:rPr>
                <w:rFonts w:ascii="Times New Roman" w:eastAsia="方正仿宋_GBK" w:cs="仿宋_GB2312" w:hAnsi="Times New Roman" w:hint="eastAsia"/>
                <w:sz w:val="32"/>
                <w:szCs w:val="32"/>
                <w:lang w:val="en-US"/>
              </w:rPr>
              <w:t>乌鲁木齐海关技术中心进境水生动物监管场地备案技术支撑及检测能力扩项设备购置项目，共计采购35台设备，其中包含普通PCR仪、电泳仪、高通量均质系统、荧光定量PCR仪、离子色谱仪等设备、辅助设备及配套设施。用来构建涵盖养殖类，捕捞类等主要品种的疫病、兽药残留等安全风险因子检测的全链条检测体系，满足口岸监管场地备案及各项检测要求，通过实验室检测能力扩项，提高自检率，缩短检测周期、提升通关效率，为监管决策提供技术支撑。</w:t>
            </w:r>
          </w:p>
        </w:tc>
        <w:tc>
          <w:tcPr>
            <w:tcW w:w="1321" w:type="dxa"/>
            <w:tcBorders>
              <w:top w:val="single" w:sz="4" w:space="0" w:color="auto"/>
              <w:left w:val="single" w:sz="4" w:space="0" w:color="auto"/>
              <w:right w:val="single" w:sz="4" w:space="0" w:color="auto"/>
            </w:tcBorders>
            <w:vAlign w:val="center"/>
          </w:tcPr>
          <w:p>
            <w:pPr>
              <w:tabs>
                <w:tab w:val="left" w:pos="993"/>
                <w:tab w:val="left" w:pos="1134"/>
                <w:tab w:val="left" w:pos="1418"/>
              </w:tabs>
              <w:spacing w:line="400" w:lineRule="exact"/>
              <w:jc w:val="center"/>
              <w:rPr>
                <w:rFonts w:ascii="仿宋_GB2312" w:eastAsia="仿宋_GB2312" w:cs="仿宋_GB2312"/>
                <w:sz w:val="24"/>
                <w:szCs w:val="32"/>
                <w:lang w:val="en-US" w:eastAsia="zh-CN"/>
              </w:rPr>
            </w:pPr>
            <w:r>
              <w:rPr>
                <w:rFonts w:ascii="Times New Roman" w:eastAsia="方正仿宋_GBK" w:cs="仿宋_GB2312" w:hAnsi="Times New Roman" w:hint="eastAsia"/>
                <w:sz w:val="32"/>
                <w:szCs w:val="32"/>
                <w:lang w:val="en-US"/>
              </w:rPr>
              <w:t>178</w:t>
            </w:r>
          </w:p>
        </w:tc>
        <w:tc>
          <w:tcPr>
            <w:tcW w:w="1749" w:type="dxa"/>
            <w:tcBorders>
              <w:top w:val="single" w:sz="4" w:space="0" w:color="auto"/>
              <w:left w:val="single" w:sz="4" w:space="0" w:color="auto"/>
              <w:right w:val="single" w:sz="4" w:space="0" w:color="auto"/>
            </w:tcBorders>
            <w:vAlign w:val="center"/>
          </w:tcPr>
          <w:p>
            <w:pPr>
              <w:tabs>
                <w:tab w:val="left" w:pos="993"/>
                <w:tab w:val="left" w:pos="1134"/>
                <w:tab w:val="left" w:pos="1418"/>
              </w:tabs>
              <w:spacing w:line="400" w:lineRule="exact"/>
              <w:rPr>
                <w:rFonts w:ascii="Times New Roman" w:eastAsia="方正仿宋_GBK" w:cs="仿宋_GB2312" w:hAnsi="Times New Roman" w:hint="eastAsia"/>
                <w:sz w:val="32"/>
                <w:szCs w:val="32"/>
                <w:lang w:eastAsia="zh-CN"/>
              </w:rPr>
            </w:pPr>
            <w:r>
              <w:rPr>
                <w:rFonts w:ascii="Times New Roman" w:eastAsia="方正仿宋_GBK" w:cs="仿宋_GB2312" w:hAnsi="Times New Roman" w:hint="eastAsia"/>
                <w:sz w:val="32"/>
                <w:szCs w:val="32"/>
                <w:lang w:eastAsia="zh-CN"/>
              </w:rPr>
              <w:t>2026年10月-12月</w:t>
            </w:r>
          </w:p>
        </w:tc>
        <w:tc>
          <w:tcPr>
            <w:tcW w:w="719" w:type="dxa"/>
            <w:vAlign w:val="center"/>
          </w:tcPr>
          <w:p>
            <w:pPr>
              <w:tabs>
                <w:tab w:val="left" w:pos="993"/>
                <w:tab w:val="left" w:pos="1134"/>
                <w:tab w:val="left" w:pos="1418"/>
              </w:tabs>
              <w:spacing w:line="400" w:lineRule="exact"/>
              <w:rPr>
                <w:rFonts w:ascii="仿宋_GB2312" w:eastAsia="仿宋_GB2312" w:cs="仿宋_GB2312"/>
                <w:sz w:val="24"/>
                <w:szCs w:val="32"/>
                <w:lang w:val="en-US" w:eastAsia="zh-CN"/>
              </w:rPr>
            </w:pPr>
            <w:r>
              <w:rPr>
                <w:rFonts w:ascii="仿宋_GB2312" w:eastAsia="仿宋_GB2312" w:cs="仿宋_GB2312" w:hint="eastAsia"/>
                <w:sz w:val="24"/>
                <w:szCs w:val="32"/>
                <w:lang w:val="en-US" w:eastAsia="zh-CN"/>
              </w:rPr>
              <w:t>无</w:t>
            </w:r>
          </w:p>
        </w:tc>
      </w:tr>
    </w:tbl>
    <w:p>
      <w:pPr>
        <w:tabs>
          <w:tab w:val="left" w:pos="993"/>
          <w:tab w:val="left" w:pos="1134"/>
          <w:tab w:val="left" w:pos="1418"/>
        </w:tabs>
        <w:spacing w:line="560" w:lineRule="exact"/>
        <w:ind w:firstLineChars="200" w:firstLine="640"/>
        <w:rPr>
          <w:rFonts w:ascii="Times New Roman" w:eastAsia="方正仿宋_GBK" w:cs="仿宋_GB2312" w:hAnsi="Times New Roman" w:hint="eastAsia"/>
          <w:sz w:val="32"/>
          <w:szCs w:val="32"/>
        </w:rPr>
      </w:pPr>
      <w:r>
        <w:rPr>
          <w:rFonts w:ascii="Times New Roman" w:eastAsia="方正仿宋_GBK" w:cs="仿宋_GB2312" w:hAnsi="Times New Roman" w:hint="eastAsia"/>
          <w:sz w:val="32"/>
          <w:szCs w:val="32"/>
        </w:rPr>
        <w:t>本次公开的采购意向是本单位政府采购工作的初步安排，具体采购项目情况以相关采购公告和采购文件为准。</w:t>
      </w:r>
    </w:p>
    <w:p>
      <w:pPr>
        <w:tabs>
          <w:tab w:val="left" w:pos="993"/>
          <w:tab w:val="left" w:pos="1134"/>
          <w:tab w:val="left" w:pos="1418"/>
        </w:tabs>
        <w:spacing w:line="600" w:lineRule="exact"/>
        <w:ind w:firstLineChars="300" w:firstLine="960"/>
        <w:jc w:val="left"/>
        <w:rPr>
          <w:rFonts w:ascii="Times New Roman" w:eastAsia="方正仿宋_GBK" w:cs="仿宋_GB2312" w:hAnsi="Times New Roman" w:hint="eastAsia"/>
          <w:sz w:val="32"/>
          <w:szCs w:val="32"/>
        </w:rPr>
      </w:pPr>
    </w:p>
    <w:p>
      <w:pPr>
        <w:tabs>
          <w:tab w:val="left" w:pos="993"/>
          <w:tab w:val="left" w:pos="1134"/>
          <w:tab w:val="left" w:pos="1418"/>
        </w:tabs>
        <w:spacing w:line="600" w:lineRule="exact"/>
        <w:ind w:firstLineChars="300" w:firstLine="960"/>
        <w:jc w:val="right"/>
        <w:rPr>
          <w:rFonts w:ascii="Times New Roman" w:eastAsia="方正仿宋_GBK" w:cs="仿宋_GB2312" w:hAnsi="Times New Roman" w:hint="eastAsia"/>
          <w:sz w:val="32"/>
          <w:szCs w:val="32"/>
          <w:lang w:eastAsia="zh-CN"/>
        </w:rPr>
      </w:pPr>
      <w:r>
        <w:rPr>
          <w:rFonts w:ascii="Times New Roman" w:eastAsia="方正仿宋_GBK" w:cs="仿宋_GB2312" w:hAnsi="Times New Roman" w:hint="eastAsia"/>
          <w:sz w:val="32"/>
          <w:szCs w:val="32"/>
        </w:rPr>
        <w:t xml:space="preserve">                                                              </w:t>
      </w:r>
      <w:r>
        <w:rPr>
          <w:rFonts w:ascii="Times New Roman" w:eastAsia="方正仿宋_GBK" w:cs="仿宋_GB2312" w:hAnsi="Times New Roman" w:hint="eastAsia"/>
          <w:sz w:val="32"/>
          <w:szCs w:val="32"/>
          <w:lang w:eastAsia="zh-CN"/>
        </w:rPr>
        <w:t>乌鲁木齐海关技术中心</w:t>
      </w:r>
    </w:p>
    <w:p>
      <w:pPr>
        <w:tabs>
          <w:tab w:val="left" w:pos="993"/>
          <w:tab w:val="left" w:pos="1134"/>
          <w:tab w:val="left" w:pos="1418"/>
        </w:tabs>
        <w:spacing w:line="600" w:lineRule="exact"/>
        <w:ind w:right="480" w:firstLineChars="300" w:firstLine="960"/>
        <w:jc w:val="right"/>
        <w:rPr>
          <w:rFonts w:ascii="Times New Roman" w:eastAsia="方正仿宋_GBK" w:cs="仿宋_GB2312" w:hAnsi="Times New Roman" w:hint="eastAsia"/>
          <w:sz w:val="32"/>
          <w:szCs w:val="32"/>
        </w:rPr>
      </w:pPr>
      <w:r>
        <w:rPr>
          <w:rFonts w:ascii="Times New Roman" w:eastAsia="方正仿宋_GBK" w:cs="仿宋_GB2312" w:hAnsi="Times New Roman" w:hint="eastAsia"/>
          <w:sz w:val="32"/>
          <w:szCs w:val="32"/>
          <w:lang w:eastAsia="zh-CN"/>
        </w:rPr>
        <w:t>2026</w:t>
      </w:r>
      <w:r>
        <w:rPr>
          <w:rFonts w:ascii="Times New Roman" w:eastAsia="方正仿宋_GBK" w:cs="仿宋_GB2312" w:hAnsi="Times New Roman" w:hint="eastAsia"/>
          <w:sz w:val="32"/>
          <w:szCs w:val="32"/>
        </w:rPr>
        <w:t>年</w:t>
      </w:r>
      <w:r>
        <w:rPr>
          <w:rFonts w:ascii="Times New Roman" w:eastAsia="方正仿宋_GBK" w:cs="仿宋_GB2312" w:hAnsi="Times New Roman" w:hint="eastAsia"/>
          <w:sz w:val="32"/>
          <w:szCs w:val="32"/>
          <w:lang w:eastAsia="zh-CN"/>
        </w:rPr>
        <w:t>8</w:t>
      </w:r>
      <w:r>
        <w:rPr>
          <w:rFonts w:ascii="Times New Roman" w:eastAsia="方正仿宋_GBK" w:cs="仿宋_GB2312" w:hAnsi="Times New Roman" w:hint="eastAsia"/>
          <w:sz w:val="32"/>
          <w:szCs w:val="32"/>
        </w:rPr>
        <w:t>月</w:t>
      </w:r>
      <w:r>
        <w:rPr>
          <w:rFonts w:ascii="Times New Roman" w:eastAsia="方正仿宋_GBK" w:cs="仿宋_GB2312" w:hAnsi="Times New Roman" w:hint="eastAsia"/>
          <w:sz w:val="32"/>
          <w:szCs w:val="32"/>
          <w:lang w:eastAsia="zh-CN"/>
        </w:rPr>
        <w:t>11</w:t>
      </w:r>
      <w:r>
        <w:rPr>
          <w:rFonts w:ascii="Times New Roman" w:eastAsia="方正仿宋_GBK" w:cs="仿宋_GB2312" w:hAnsi="Times New Roman" w:hint="eastAsia"/>
          <w:sz w:val="32"/>
          <w:szCs w:val="32"/>
        </w:rPr>
        <w:t xml:space="preserve">日  </w:t>
      </w:r>
    </w:p>
    <w:sectPr>
      <w:pgSz w:w="11906" w:h="16838"/>
      <w:pgMar w:top="1440" w:right="1803" w:bottom="1440" w:left="1803" w:header="851" w:footer="992" w:gutter="0"/>
      <w:cols w:num="1" w:space="720"/>
      <w:docGrid w:type="lines" w:linePitch="319"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仿宋_GB2312">
    <w:altName w:val="方正仿宋_GBK"/>
    <w:panose1 w:val="02010609030101010101"/>
    <w:charset w:val="86"/>
    <w:family w:val="modern"/>
    <w:pitch w:val="variable"/>
    <w:sig w:usb0="00000000" w:usb1="00000000" w:usb2="00000000" w:usb3="00000000" w:csb0="00040000" w:csb1="0000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203" w:usb1="288F0000" w:usb2="0000000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黑体">
    <w:altName w:val="方正黑体_GBK"/>
    <w:panose1 w:val="02000000000000000000"/>
    <w:charset w:val="86"/>
    <w:family w:val="script"/>
    <w:pitch w:val="variable"/>
    <w:sig w:usb0="A00002BF" w:usb1="38CF7CFA" w:usb2="00082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210"/>
  <w:doNotDisplayPageBoundaries/>
  <w:bordersDoNotSurroundHeader/>
  <w:bordersDoNotSurroundFooter/>
  <w:trackRevisions/>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customStyle="1" w:styleId="16">
    <w:name w:val="样式 10 磅"/>
    <w:pPr>
      <w:widowControl w:val="0"/>
      <w:jc w:val="both"/>
    </w:pPr>
    <w:rPr>
      <w:rFonts w:ascii="Calibri" w:eastAsia="宋体" w:cs="Arial" w:hAnsi="Calibri"/>
      <w:kern w:val="2"/>
      <w:sz w:val="21"/>
      <w:szCs w:val="24"/>
      <w:lang w:val="en-US" w:eastAsia="zh-CN" w:bidi="ar-SA"/>
    </w:rPr>
  </w:style>
  <w:style w:type="paragraph" w:customStyle="1" w:styleId="17">
    <w:name w:val="样式 1 10 磅"/>
    <w:pPr>
      <w:widowControl w:val="0"/>
      <w:jc w:val="both"/>
    </w:pPr>
    <w:rPr>
      <w:rFonts w:ascii="Calibri" w:eastAsia="宋体" w:cs="Arial" w:hAnsi="Calibri"/>
      <w:kern w:val="2"/>
      <w:sz w:val="21"/>
      <w:szCs w:val="24"/>
      <w:lang w:val="en-US" w:eastAsia="zh-CN" w:bidi="ar-SA"/>
    </w:rPr>
  </w:style>
  <w:style w:type="paragraph" w:customStyle="1" w:styleId="18">
    <w:name w:val="样式 2 10 磅"/>
    <w:pPr>
      <w:widowControl w:val="0"/>
      <w:jc w:val="both"/>
    </w:pPr>
    <w:rPr>
      <w:rFonts w:ascii="Calibri" w:eastAsia="宋体" w:cs="Arial" w:hAnsi="Calibri"/>
      <w:kern w:val="2"/>
      <w:sz w:val="21"/>
      <w:szCs w:val="24"/>
      <w:lang w:val="en-US" w:eastAsia="zh-CN" w:bidi="ar-SA"/>
    </w:rPr>
  </w:style>
  <w:style w:type="paragraph" w:customStyle="1" w:styleId="136">
    <w:name w:val="样式 3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51870BFE-F2CF-46B1-A474-D210E89F64F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48</TotalTime>
  <Application>Yozo_Office27021597764231179</Application>
  <Pages>2</Pages>
  <Words>0</Words>
  <Characters>433</Characters>
  <Lines>0</Lines>
  <Paragraphs>10</Paragraphs>
  <CharactersWithSpaces>578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附：政府采购意向公开参考文本</dc:title>
  <dc:creator>may</dc:creator>
  <cp:lastModifiedBy>greatwall</cp:lastModifiedBy>
  <cp:revision>0</cp:revision>
  <dcterms:created xsi:type="dcterms:W3CDTF">2020-02-24T08:15:00Z</dcterms:created>
  <dcterms:modified xsi:type="dcterms:W3CDTF">2026-08-11T08:51:08Z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2052-12.1.0.26936</vt:lpwstr>
  </property>
  <property fmtid="{D5CDD505-2E9C-101B-9397-08002B2CF9AE}" pid="3" name="ICV">
    <vt:lpwstr>8A6B6E799D7B4D68B6E6E0E0C25023C3_13</vt:lpwstr>
  </property>
  <property fmtid="{D5CDD505-2E9C-101B-9397-08002B2CF9AE}" pid="4" name="KSOTemplateDocerSaveRecord">
    <vt:lpwstr>eyJoZGlkIjoiNjQyNjgxMTJiYTUxYjE4NDJiNGU2MGIyNWJlNTgwZGYiLCJ1c2VySWQiOiI1Mjk1MjYyMjkifQ==</vt:lpwstr>
  </property>
</Properties>
</file>