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eastAsia="方正小标宋_GBK"/>
          <w:sz w:val="44"/>
          <w:szCs w:val="44"/>
        </w:rPr>
      </w:pPr>
      <w:bookmarkStart w:id="0" w:name="_Hlk25540369"/>
      <w:r>
        <w:rPr>
          <w:rFonts w:eastAsia="方正小标宋_GBK"/>
          <w:sz w:val="44"/>
          <w:szCs w:val="44"/>
        </w:rPr>
        <w:t>乌鲁木齐海关</w:t>
      </w:r>
      <w:r>
        <w:rPr>
          <w:rFonts w:eastAsia="方正小标宋_GBK" w:hint="eastAsia"/>
          <w:sz w:val="44"/>
          <w:szCs w:val="44"/>
          <w:lang w:eastAsia="zh-CN"/>
        </w:rPr>
        <w:t>（本级机关）</w:t>
      </w:r>
      <w:r>
        <w:rPr>
          <w:rFonts w:eastAsia="方正小标宋_GBK"/>
          <w:sz w:val="44"/>
          <w:szCs w:val="44"/>
        </w:rPr>
        <w:t>20</w:t>
      </w:r>
      <w:r>
        <w:rPr>
          <w:rFonts w:eastAsia="方正小标宋_GBK" w:hint="eastAsia"/>
          <w:sz w:val="44"/>
          <w:szCs w:val="44"/>
          <w:lang w:val="en-US" w:eastAsia="zh-CN"/>
        </w:rPr>
        <w:t>20</w:t>
      </w:r>
      <w:r>
        <w:rPr>
          <w:rFonts w:eastAsia="方正小标宋_GBK"/>
          <w:sz w:val="44"/>
          <w:szCs w:val="44"/>
        </w:rPr>
        <w:t>年政府信息公开工作年度报告</w:t>
      </w:r>
      <w:bookmarkEnd w:id="0"/>
    </w:p>
    <w:p>
      <w:pPr>
        <w:spacing w:line="560" w:lineRule="exact"/>
        <w:jc w:val="center"/>
        <w:rPr>
          <w:rFonts w:eastAsia="方正小标宋_GBK"/>
          <w:sz w:val="44"/>
          <w:szCs w:val="44"/>
        </w:rPr>
      </w:pP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仿宋_GBK" w:eastAsia="方正仿宋_GBK" w:cs="方正仿宋_GBK" w:hint="eastAsia"/>
          <w:sz w:val="32"/>
          <w:szCs w:val="32"/>
        </w:rPr>
      </w:pPr>
      <w:r>
        <w:rPr>
          <w:rFonts w:ascii="方正仿宋_GBK" w:eastAsia="方正仿宋_GBK" w:cs="方正仿宋_GBK" w:hint="eastAsia"/>
          <w:sz w:val="32"/>
          <w:szCs w:val="32"/>
        </w:rPr>
        <w:t>本报告根据《中华人民共和国政府信息公开条例》《国务院办公厅政府信息与政务公开办公室关于政府信息公开工作年度报告有关事项的通知》</w:t>
      </w:r>
      <w:r>
        <w:rPr>
          <w:rFonts w:ascii="方正仿宋_GBK" w:eastAsia="方正仿宋_GBK" w:cs="方正仿宋_GBK" w:hint="eastAsia"/>
          <w:sz w:val="32"/>
          <w:szCs w:val="32"/>
          <w:lang w:eastAsia="zh-CN"/>
        </w:rPr>
        <w:t>等规定</w:t>
      </w:r>
      <w:r>
        <w:rPr>
          <w:rFonts w:ascii="方正仿宋_GBK" w:eastAsia="方正仿宋_GBK" w:cs="方正仿宋_GBK" w:hint="eastAsia"/>
          <w:sz w:val="32"/>
          <w:szCs w:val="32"/>
        </w:rPr>
        <w:t>，梳理2020年度乌鲁木齐海关</w:t>
      </w:r>
      <w:r>
        <w:rPr>
          <w:rFonts w:ascii="方正仿宋_GBK" w:eastAsia="方正仿宋_GBK" w:cs="方正仿宋_GBK" w:hint="eastAsia"/>
          <w:sz w:val="32"/>
          <w:szCs w:val="32"/>
          <w:lang w:val="en-US" w:eastAsia="zh-CN"/>
        </w:rPr>
        <w:t>（</w:t>
      </w:r>
      <w:r>
        <w:rPr>
          <w:rFonts w:ascii="方正仿宋_GBK" w:eastAsia="方正仿宋_GBK" w:cs="方正仿宋_GBK" w:hint="eastAsia"/>
          <w:sz w:val="32"/>
          <w:szCs w:val="32"/>
        </w:rPr>
        <w:t>本级机关</w:t>
      </w:r>
      <w:r>
        <w:rPr>
          <w:rFonts w:ascii="方正仿宋_GBK" w:eastAsia="方正仿宋_GBK" w:cs="方正仿宋_GBK" w:hint="eastAsia"/>
          <w:sz w:val="32"/>
          <w:szCs w:val="32"/>
          <w:lang w:val="en-US" w:eastAsia="zh-CN"/>
        </w:rPr>
        <w:t>）</w:t>
      </w:r>
      <w:r>
        <w:rPr>
          <w:rFonts w:ascii="方正仿宋_GBK" w:eastAsia="方正仿宋_GBK" w:cs="方正仿宋_GBK" w:hint="eastAsia"/>
          <w:sz w:val="32"/>
          <w:szCs w:val="32"/>
        </w:rPr>
        <w:t>政府信息公开工作情况编制而成。报告中所列数据的统计期限，自2020年1月1日起至2020年12月31日止。如对报告有疑问或有任何意见、建议，请联系乌鲁木齐海关办公室信息宣传科，地址：乌鲁木齐市新市区北京南路295号，邮编830000；电话：（0991）3627921；电子邮箱：wl_zwgk@customs.gov.cn。</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黑体_GBK" w:eastAsia="方正黑体_GBK" w:cs="方正黑体_GBK" w:hint="eastAsia"/>
          <w:sz w:val="32"/>
          <w:szCs w:val="32"/>
        </w:rPr>
      </w:pPr>
      <w:r>
        <w:rPr>
          <w:rFonts w:ascii="方正黑体_GBK" w:eastAsia="方正黑体_GBK" w:cs="方正黑体_GBK" w:hint="eastAsia"/>
          <w:sz w:val="32"/>
          <w:szCs w:val="32"/>
        </w:rPr>
        <w:t xml:space="preserve"> 一、总体情况</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仿宋_GBK" w:eastAsia="方正仿宋_GBK" w:cs="方正仿宋_GBK" w:hint="eastAsia"/>
          <w:sz w:val="32"/>
          <w:szCs w:val="32"/>
        </w:rPr>
      </w:pPr>
      <w:r>
        <w:rPr>
          <w:rFonts w:ascii="方正仿宋_GBK" w:eastAsia="方正仿宋_GBK" w:cs="方正仿宋_GBK" w:hint="eastAsia"/>
          <w:sz w:val="32"/>
          <w:szCs w:val="32"/>
        </w:rPr>
        <w:t>2020年，乌鲁木齐海关严格贯彻落实《政府信息公开条例》，在总署办公厅正确领导下，从强化整改落实、夯实工作基础、建立工作队伍、规范工作流程等入手，扎实推进关区政务公开工作，确保关区政务公开工作质效稳步提升。</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楷体_GBK" w:eastAsia="方正楷体_GBK" w:cs="方正楷体_GBK" w:hint="eastAsia"/>
          <w:b/>
          <w:bCs/>
          <w:sz w:val="32"/>
          <w:szCs w:val="32"/>
          <w:lang w:eastAsia="zh-CN"/>
        </w:rPr>
      </w:pPr>
      <w:r>
        <w:rPr>
          <w:rFonts w:ascii="方正楷体_GBK" w:eastAsia="方正楷体_GBK" w:cs="方正楷体_GBK" w:hint="eastAsia"/>
          <w:b/>
          <w:bCs/>
          <w:sz w:val="32"/>
          <w:szCs w:val="32"/>
        </w:rPr>
        <w:t>（一）追根溯源，强化整改落实</w:t>
      </w:r>
      <w:r>
        <w:rPr>
          <w:rFonts w:ascii="方正楷体_GBK" w:eastAsia="方正楷体_GBK" w:cs="方正楷体_GBK" w:hint="eastAsia"/>
          <w:b/>
          <w:bCs/>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仿宋_GBK" w:eastAsia="方正仿宋_GBK" w:cs="方正仿宋_GBK" w:hint="eastAsia"/>
          <w:sz w:val="32"/>
          <w:szCs w:val="32"/>
        </w:rPr>
      </w:pPr>
      <w:r>
        <w:rPr>
          <w:rFonts w:ascii="方正仿宋_GBK" w:eastAsia="方正仿宋_GBK" w:cs="方正仿宋_GBK" w:hint="eastAsia"/>
          <w:sz w:val="32"/>
          <w:szCs w:val="32"/>
        </w:rPr>
        <w:t>《2019年乌鲁木齐海关政务公开工作评估报告》（以下简称报告）下发后，我关认真对照各项检查指标，进行全面梳理，针对出现的问题迅速整改，共整改完成问题4个。同时，举一反三，深入分析存在问题的原因，完善政务公开工作机制，明确工作职责，从源头上杜绝此类问题再次发生。</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楷体_GBK" w:eastAsia="方正楷体_GBK" w:cs="方正楷体_GBK" w:hint="eastAsia"/>
          <w:b/>
          <w:bCs/>
          <w:sz w:val="32"/>
          <w:szCs w:val="32"/>
          <w:lang w:eastAsia="zh-CN"/>
        </w:rPr>
      </w:pPr>
      <w:r>
        <w:rPr>
          <w:rFonts w:ascii="方正楷体_GBK" w:eastAsia="方正楷体_GBK" w:cs="方正楷体_GBK" w:hint="eastAsia"/>
          <w:b/>
          <w:bCs/>
          <w:sz w:val="32"/>
          <w:szCs w:val="32"/>
        </w:rPr>
        <w:t>（二）夯实基础，加强制度建设</w:t>
      </w:r>
      <w:r>
        <w:rPr>
          <w:rFonts w:ascii="方正楷体_GBK" w:eastAsia="方正楷体_GBK" w:cs="方正楷体_GBK" w:hint="eastAsia"/>
          <w:b/>
          <w:bCs/>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仿宋_GBK" w:eastAsia="方正仿宋_GBK" w:cs="方正仿宋_GBK" w:hint="eastAsia"/>
          <w:sz w:val="32"/>
          <w:szCs w:val="32"/>
        </w:rPr>
      </w:pPr>
      <w:r>
        <w:rPr>
          <w:rFonts w:ascii="方正仿宋_GBK" w:eastAsia="方正仿宋_GBK" w:cs="方正仿宋_GBK" w:hint="eastAsia"/>
          <w:sz w:val="32"/>
          <w:szCs w:val="32"/>
        </w:rPr>
        <w:t>一是结合《政府信息公开条例》，制订并下发《乌鲁木齐海关政务公开实施细则》及《乌鲁木齐海关政府信息公开工作规程》和《乌鲁木齐海关信息公开保密审查规程》，规定政务公开工作流程，明确依申请公开内部工作流程。同时，要求各隶属海关制订各自工作制度。二是制定《乌鲁木齐海关门户网站栏目内容责任分工表》，进一步明确各栏目维护的工作流程、责任部门、内容要求和维护频次及时限要求，确保各项主动公开内容及时对外公布。三是加大检查督导，压实工作责任。结合总署考核指标和任务分工，不定期检查政务公开工作，利用周二</w:t>
      </w:r>
      <w:r>
        <w:rPr>
          <w:rFonts w:ascii="方正仿宋_GBK" w:eastAsia="方正仿宋_GBK" w:cs="方正仿宋_GBK" w:hint="eastAsia"/>
          <w:sz w:val="32"/>
          <w:szCs w:val="32"/>
          <w:lang w:eastAsia="zh-CN"/>
        </w:rPr>
        <w:t>关区</w:t>
      </w:r>
      <w:r>
        <w:rPr>
          <w:rFonts w:ascii="方正仿宋_GBK" w:eastAsia="方正仿宋_GBK" w:cs="方正仿宋_GBK" w:hint="eastAsia"/>
          <w:sz w:val="32"/>
          <w:szCs w:val="32"/>
        </w:rPr>
        <w:t>视频点名会议，通报检查情况，提出下一步工作要求。同时，将政务公开工作列入考核指标，进一步压实责任，努力提升关区政务公开管理整体工作水平。</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楷体_GBK" w:eastAsia="方正楷体_GBK" w:cs="方正楷体_GBK" w:hint="eastAsia"/>
          <w:b/>
          <w:bCs/>
          <w:sz w:val="32"/>
          <w:szCs w:val="32"/>
          <w:lang w:eastAsia="zh-CN"/>
        </w:rPr>
      </w:pPr>
      <w:r>
        <w:rPr>
          <w:rFonts w:ascii="方正楷体_GBK" w:eastAsia="方正楷体_GBK" w:cs="方正楷体_GBK" w:hint="eastAsia"/>
          <w:b/>
          <w:bCs/>
          <w:sz w:val="32"/>
          <w:szCs w:val="32"/>
        </w:rPr>
        <w:t>（三）狠抓落实，加大主动公开力度</w:t>
      </w:r>
      <w:r>
        <w:rPr>
          <w:rFonts w:ascii="方正楷体_GBK" w:eastAsia="方正楷体_GBK" w:cs="方正楷体_GBK" w:hint="eastAsia"/>
          <w:b/>
          <w:bCs/>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仿宋_GBK" w:eastAsia="方正仿宋_GBK" w:cs="方正仿宋_GBK" w:hint="eastAsia"/>
          <w:sz w:val="32"/>
          <w:szCs w:val="32"/>
        </w:rPr>
      </w:pPr>
      <w:r>
        <w:rPr>
          <w:rFonts w:ascii="方正仿宋_GBK" w:eastAsia="方正仿宋_GBK" w:cs="方正仿宋_GBK" w:hint="eastAsia"/>
          <w:sz w:val="32"/>
          <w:szCs w:val="32"/>
        </w:rPr>
        <w:t>1.加强栏目规范化建设。设置完善“政府信息公开”专栏，全面梳理应公开内容，设置“政府信息公开指南”“政府信息公开制度”“政府信息公开年报”“政府信息公开目录”“依申请公开”5个子栏目。全面梳理完善各栏目内容，全年共更新内容1100余条。</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仿宋_GBK" w:eastAsia="方正仿宋_GBK" w:cs="方正仿宋_GBK" w:hint="eastAsia"/>
          <w:sz w:val="32"/>
          <w:szCs w:val="32"/>
        </w:rPr>
      </w:pPr>
      <w:r>
        <w:rPr>
          <w:rFonts w:ascii="方正仿宋_GBK" w:eastAsia="方正仿宋_GBK" w:cs="方正仿宋_GBK" w:hint="eastAsia"/>
          <w:sz w:val="32"/>
          <w:szCs w:val="32"/>
        </w:rPr>
        <w:t>2.增设主动公开栏目。坚持以公开为常态、不公开为例外原则，认真梳理《政府信息公开条例》规定主动公开的十五类政府信息，增设 “突发公共事件应急预案”“行政执法公示”等栏目，不断扩大主动公开范围。“突发公共事件应急预案”分设关区和各隶属海关两个子栏目已对外公示关区业务领域8个应急预案和20个隶属海关（除和田海关筹备处）的应急预案。“行政执法公示”栏目下设“行政处罚事项事前公开”“知识产权行政处罚事项事前公开”两个子栏目，对外公示行政执法依据、条件、程序等内容。</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仿宋_GBK" w:eastAsia="方正仿宋_GBK" w:cs="方正仿宋_GBK" w:hint="eastAsia"/>
          <w:sz w:val="32"/>
          <w:szCs w:val="32"/>
        </w:rPr>
      </w:pPr>
      <w:r>
        <w:rPr>
          <w:rFonts w:ascii="方正仿宋_GBK" w:eastAsia="方正仿宋_GBK" w:cs="方正仿宋_GBK" w:hint="eastAsia"/>
          <w:sz w:val="32"/>
          <w:szCs w:val="32"/>
        </w:rPr>
        <w:t>3.及时补充完善相关栏目内容。补充完善“财政预算、决算公开”栏目， 公布了近3年以来的财政预决算信息；整理制作“乌鲁木齐海关常规稽查‘双随机、一公开’”统计表，并定期进行对外公示；重新制定“政府信息公开目录”录入流程，定期进行内容更新。2020年，乌鲁木齐海关门户网站“法定主动公开内容”栏目共对外公示内容1076条。</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仿宋_GBK" w:eastAsia="方正仿宋_GBK" w:cs="方正仿宋_GBK" w:hint="eastAsia"/>
          <w:sz w:val="32"/>
          <w:szCs w:val="32"/>
        </w:rPr>
      </w:pPr>
      <w:r>
        <w:rPr>
          <w:rFonts w:ascii="方正仿宋_GBK" w:eastAsia="方正仿宋_GBK" w:cs="方正仿宋_GBK" w:hint="eastAsia"/>
          <w:sz w:val="32"/>
          <w:szCs w:val="32"/>
        </w:rPr>
        <w:t xml:space="preserve">4.推进重大决策和执行情况公开。通过“通知公告”栏目及时发布乌鲁木齐海关重大决策及推进情况，并对重大决策进行解读，确保公众及时了解相关情况。针对今年新冠肺炎疫情蔓延，在首页设置“疫情防控和‘六稳六保’”专栏，及时发布关区海关疫情防控和促进外贸增长相关举措等17个文件内容。 </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仿宋_GBK" w:eastAsia="方正仿宋_GBK" w:cs="方正仿宋_GBK" w:hint="eastAsia"/>
          <w:sz w:val="32"/>
          <w:szCs w:val="32"/>
        </w:rPr>
      </w:pPr>
      <w:r>
        <w:rPr>
          <w:rFonts w:ascii="方正仿宋_GBK" w:eastAsia="方正仿宋_GBK" w:cs="方正仿宋_GBK" w:hint="eastAsia"/>
          <w:sz w:val="32"/>
          <w:szCs w:val="32"/>
        </w:rPr>
        <w:t>5.补充完善关区机构设置情况。完善组织机构内容，定期更新相关内容，确保栏目内容真实、准确。</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仿宋_GBK" w:eastAsia="方正仿宋_GBK" w:cs="方正仿宋_GBK" w:hint="eastAsia"/>
          <w:sz w:val="32"/>
          <w:szCs w:val="32"/>
        </w:rPr>
      </w:pPr>
      <w:r>
        <w:rPr>
          <w:rFonts w:ascii="方正仿宋_GBK" w:eastAsia="方正仿宋_GBK" w:cs="方正仿宋_GBK" w:hint="eastAsia"/>
          <w:sz w:val="32"/>
          <w:szCs w:val="32"/>
        </w:rPr>
        <w:t>6.及时跟进权责清单的修订。强化和法规与综合业务处联系沟通，及时跟进总署法规司权责清单修订情况，结合总署制定新版的权责清单修订本关权责清单。</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仿宋_GBK" w:eastAsia="方正仿宋_GBK" w:cs="方正仿宋_GBK" w:hint="eastAsia"/>
          <w:sz w:val="32"/>
          <w:szCs w:val="32"/>
        </w:rPr>
      </w:pPr>
      <w:r>
        <w:rPr>
          <w:rFonts w:ascii="方正仿宋_GBK" w:eastAsia="方正仿宋_GBK" w:cs="方正仿宋_GBK" w:hint="eastAsia"/>
          <w:sz w:val="32"/>
          <w:szCs w:val="32"/>
        </w:rPr>
        <w:t>7.不断提升便民服务质量。定期更新“政策文件”，及时对外公示本关规范性文件及各类便企措施；提高政策解读更新频率，提升解读质量，方便行政管理相对人办理业务；不断压缩网站业务咨询留言的回复时间，回复留言时间严格控制在两个工作日内，提高业务咨询的时效性。</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楷体_GBK" w:eastAsia="方正楷体_GBK" w:cs="方正楷体_GBK" w:hint="eastAsia"/>
          <w:b/>
          <w:bCs/>
          <w:sz w:val="32"/>
          <w:szCs w:val="32"/>
          <w:lang w:eastAsia="zh-CN"/>
        </w:rPr>
      </w:pPr>
      <w:r>
        <w:rPr>
          <w:rFonts w:ascii="方正楷体_GBK" w:eastAsia="方正楷体_GBK" w:cs="方正楷体_GBK" w:hint="eastAsia"/>
          <w:b/>
          <w:bCs/>
          <w:sz w:val="32"/>
          <w:szCs w:val="32"/>
        </w:rPr>
        <w:t>（四）明确要求，提高依申请公开的规范性</w:t>
      </w:r>
      <w:r>
        <w:rPr>
          <w:rFonts w:ascii="方正楷体_GBK" w:eastAsia="方正楷体_GBK" w:cs="方正楷体_GBK" w:hint="eastAsia"/>
          <w:b/>
          <w:bCs/>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仿宋_GBK" w:eastAsia="方正仿宋_GBK" w:cs="方正仿宋_GBK" w:hint="eastAsia"/>
          <w:sz w:val="32"/>
          <w:szCs w:val="32"/>
        </w:rPr>
      </w:pPr>
      <w:r>
        <w:rPr>
          <w:rFonts w:ascii="方正仿宋_GBK" w:eastAsia="方正仿宋_GBK" w:cs="方正仿宋_GBK" w:hint="eastAsia"/>
          <w:sz w:val="32"/>
          <w:szCs w:val="32"/>
        </w:rPr>
        <w:t>明确工作流程。在《乌鲁木齐海关政务公开实施细则》中专门设立章节，明确依申请公开工作流程。</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楷体_GBK" w:eastAsia="方正楷体_GBK" w:cs="方正楷体_GBK" w:hint="eastAsia"/>
          <w:b/>
          <w:bCs/>
          <w:sz w:val="32"/>
          <w:szCs w:val="32"/>
        </w:rPr>
      </w:pPr>
      <w:r>
        <w:rPr>
          <w:rFonts w:ascii="方正楷体_GBK" w:eastAsia="方正楷体_GBK" w:cs="方正楷体_GBK" w:hint="eastAsia"/>
          <w:b/>
          <w:bCs/>
          <w:sz w:val="32"/>
          <w:szCs w:val="32"/>
        </w:rPr>
        <w:t>（五）规范政府信息公开年度报告发布。</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方正仿宋_GBK" w:eastAsia="方正仿宋_GBK" w:cs="方正仿宋_GBK" w:hint="eastAsia"/>
          <w:sz w:val="32"/>
          <w:szCs w:val="32"/>
        </w:rPr>
      </w:pPr>
      <w:r>
        <w:rPr>
          <w:rFonts w:ascii="方正仿宋_GBK" w:eastAsia="方正仿宋_GBK" w:cs="方正仿宋_GBK" w:hint="eastAsia"/>
          <w:sz w:val="32"/>
          <w:szCs w:val="32"/>
        </w:rPr>
        <w:t>我关高度重视政府信息公开年度报告发布工作，严把内容、数据质量关。强化与各职能部门的联系沟通，明确本机关各项数据编报的具体责任部门，相关数据必须经责任部门负责同志审阅，确保各项数据来源客观、权威、可靠。</w:t>
      </w:r>
    </w:p>
    <w:p>
      <w:pPr>
        <w:pStyle w:val="18"/>
        <w:widowControl/>
        <w:shd w:val="clear" w:color="auto" w:fill="FFFFFF"/>
        <w:adjustRightInd w:val="0"/>
        <w:snapToGrid w:val="0"/>
        <w:spacing w:beforeAutospacing="0" w:afterAutospacing="0" w:line="560" w:lineRule="exact"/>
        <w:jc w:val="both"/>
        <w:rPr>
          <w:rFonts w:eastAsia="方正黑体_GBK"/>
          <w:bCs/>
          <w:sz w:val="32"/>
          <w:szCs w:val="32"/>
          <w:shd w:val="clear" w:color="auto" w:fill="FFFFFF"/>
        </w:rPr>
      </w:pPr>
      <w:r>
        <w:rPr>
          <w:rFonts w:eastAsia="方正黑体_GBK"/>
          <w:bCs/>
          <w:sz w:val="32"/>
          <w:szCs w:val="32"/>
          <w:shd w:val="clear" w:color="auto" w:fill="FFFFFF"/>
        </w:rPr>
        <w:t>二、主动公开政府信息情况</w:t>
      </w:r>
    </w:p>
    <w:tbl>
      <w:tblPr>
        <w:jc w:val="center"/>
        <w:tblW w:w="10293"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113"/>
        <w:gridCol w:w="2183"/>
        <w:gridCol w:w="1551"/>
        <w:gridCol w:w="3446"/>
      </w:tblGrid>
      <w:tr>
        <w:trPr>
          <w:trHeight w:val="495"/>
        </w:trPr>
        <w:tc>
          <w:tcPr>
            <w:tcW w:w="10293"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spacing w:after="180" w:line="560" w:lineRule="exact"/>
              <w:jc w:val="center"/>
              <w:rPr>
                <w:sz w:val="24"/>
                <w:szCs w:val="24"/>
              </w:rPr>
            </w:pPr>
            <w:r>
              <w:rPr>
                <w:kern w:val="0"/>
                <w:sz w:val="24"/>
                <w:szCs w:val="24"/>
              </w:rPr>
              <w:t>第二十条第（一）项</w:t>
            </w:r>
          </w:p>
        </w:tc>
      </w:tr>
      <w:tr>
        <w:trPr>
          <w:trHeight w:val="882"/>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本年新</w:t>
              <w:br/>
              <w:t>制作数量</w:t>
            </w:r>
          </w:p>
        </w:tc>
        <w:tc>
          <w:tcPr>
            <w:tcW w:w="155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本年新</w:t>
              <w:br/>
              <w:t>公开数量</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对外公开总数量</w:t>
            </w:r>
          </w:p>
        </w:tc>
      </w:tr>
      <w:tr>
        <w:trPr>
          <w:trHeight w:val="272"/>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sz w:val="24"/>
                <w:szCs w:val="24"/>
              </w:rPr>
            </w:pPr>
            <w:r>
              <w:rPr>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sz w:val="24"/>
                <w:szCs w:val="24"/>
              </w:rPr>
            </w:pPr>
            <w:r>
              <w:rPr>
                <w:kern w:val="0"/>
                <w:sz w:val="24"/>
                <w:szCs w:val="24"/>
              </w:rPr>
              <w:t>　　0</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sz w:val="24"/>
                <w:szCs w:val="24"/>
              </w:rPr>
            </w:pPr>
            <w:r>
              <w:rPr>
                <w:kern w:val="0"/>
                <w:sz w:val="24"/>
                <w:szCs w:val="24"/>
              </w:rPr>
              <w:t> 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sz w:val="24"/>
                <w:szCs w:val="24"/>
              </w:rPr>
            </w:pPr>
            <w:r>
              <w:rPr>
                <w:kern w:val="0"/>
                <w:sz w:val="24"/>
                <w:szCs w:val="24"/>
              </w:rPr>
              <w:t>0</w:t>
            </w:r>
          </w:p>
        </w:tc>
      </w:tr>
      <w:tr>
        <w:trPr>
          <w:trHeight w:val="471"/>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sz w:val="24"/>
                <w:szCs w:val="24"/>
              </w:rPr>
            </w:pPr>
            <w:r>
              <w:rPr>
                <w:kern w:val="0"/>
                <w:sz w:val="24"/>
                <w:szCs w:val="24"/>
              </w:rPr>
              <w:t>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sz w:val="24"/>
                <w:szCs w:val="24"/>
              </w:rPr>
            </w:pPr>
            <w:r>
              <w:rPr>
                <w:kern w:val="0"/>
                <w:sz w:val="24"/>
                <w:szCs w:val="24"/>
              </w:rPr>
              <w:t>　　0</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sz w:val="24"/>
                <w:szCs w:val="24"/>
              </w:rPr>
            </w:pPr>
            <w:r>
              <w:rPr>
                <w:kern w:val="0"/>
                <w:sz w:val="24"/>
                <w:szCs w:val="24"/>
              </w:rPr>
              <w:t> 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sz w:val="24"/>
                <w:szCs w:val="24"/>
              </w:rPr>
            </w:pPr>
            <w:r>
              <w:rPr>
                <w:kern w:val="0"/>
                <w:sz w:val="24"/>
                <w:szCs w:val="24"/>
              </w:rPr>
              <w:t>0</w:t>
            </w:r>
          </w:p>
        </w:tc>
      </w:tr>
      <w:tr>
        <w:trPr>
          <w:trHeight w:val="480"/>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第二十条第（五）项</w:t>
            </w:r>
          </w:p>
        </w:tc>
      </w:tr>
      <w:tr>
        <w:trPr>
          <w:trHeight w:val="436"/>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rFonts w:hint="eastAsia"/>
                <w:kern w:val="0"/>
                <w:sz w:val="24"/>
                <w:szCs w:val="24"/>
                <w:lang w:eastAsia="zh-CN"/>
              </w:rPr>
              <w:t>本</w:t>
            </w:r>
            <w:r>
              <w:rPr>
                <w:kern w:val="0"/>
                <w:sz w:val="24"/>
                <w:szCs w:val="24"/>
              </w:rPr>
              <w:t>年项目数量</w:t>
            </w:r>
          </w:p>
        </w:tc>
        <w:tc>
          <w:tcPr>
            <w:tcW w:w="155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本年增/减</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处理决定数量</w:t>
            </w:r>
          </w:p>
        </w:tc>
      </w:tr>
      <w:tr>
        <w:trPr>
          <w:trHeight w:val="400"/>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sz w:val="24"/>
                <w:szCs w:val="24"/>
              </w:rPr>
            </w:pPr>
            <w:r>
              <w:rPr>
                <w:kern w:val="0"/>
                <w:sz w:val="24"/>
                <w:szCs w:val="24"/>
              </w:rPr>
              <w:t>行政许可</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rFonts w:eastAsia="宋体"/>
                <w:sz w:val="24"/>
                <w:szCs w:val="24"/>
                <w:lang w:val="en-US" w:eastAsia="zh-CN"/>
              </w:rPr>
            </w:pPr>
            <w:r>
              <w:rPr>
                <w:kern w:val="0"/>
                <w:sz w:val="24"/>
                <w:szCs w:val="24"/>
              </w:rPr>
              <w:t>　</w:t>
            </w:r>
            <w:r>
              <w:rPr>
                <w:rFonts w:hint="eastAsia"/>
                <w:kern w:val="0"/>
                <w:sz w:val="24"/>
                <w:szCs w:val="24"/>
                <w:lang w:val="en-US" w:eastAsia="zh-CN"/>
              </w:rPr>
              <w:t>39</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rFonts w:eastAsia="宋体"/>
                <w:sz w:val="24"/>
                <w:szCs w:val="24"/>
                <w:lang w:val="en-US" w:eastAsia="zh-CN"/>
              </w:rPr>
            </w:pPr>
            <w:r>
              <w:rPr>
                <w:kern w:val="0"/>
                <w:sz w:val="24"/>
                <w:szCs w:val="24"/>
              </w:rPr>
              <w:t>　</w:t>
            </w:r>
            <w:r>
              <w:rPr>
                <w:kern w:val="0"/>
                <w:sz w:val="24"/>
                <w:szCs w:val="24"/>
                <w:lang w:eastAsia="zh-CN"/>
              </w:rPr>
              <w:t>-</w:t>
            </w:r>
            <w:r>
              <w:rPr>
                <w:rFonts w:hint="eastAsia"/>
                <w:kern w:val="0"/>
                <w:sz w:val="24"/>
                <w:szCs w:val="24"/>
                <w:lang w:val="en-US" w:eastAsia="zh-CN"/>
              </w:rPr>
              <w:t>54</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rFonts w:eastAsia="宋体"/>
                <w:sz w:val="24"/>
                <w:szCs w:val="24"/>
                <w:lang w:val="en-US" w:eastAsia="zh-CN"/>
              </w:rPr>
            </w:pPr>
            <w:r>
              <w:rPr>
                <w:kern w:val="0"/>
                <w:sz w:val="24"/>
                <w:szCs w:val="24"/>
              </w:rPr>
              <w:t>　</w:t>
            </w:r>
            <w:r>
              <w:rPr>
                <w:rFonts w:hint="eastAsia"/>
                <w:kern w:val="0"/>
                <w:sz w:val="24"/>
                <w:szCs w:val="24"/>
                <w:lang w:val="en-US" w:eastAsia="zh-CN"/>
              </w:rPr>
              <w:t>113</w:t>
            </w:r>
          </w:p>
        </w:tc>
      </w:tr>
      <w:tr>
        <w:trPr>
          <w:trHeight w:val="406"/>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第二十条第（六）项</w:t>
            </w:r>
          </w:p>
        </w:tc>
      </w:tr>
      <w:tr>
        <w:trPr>
          <w:trHeight w:val="547"/>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rFonts w:hint="eastAsia"/>
                <w:kern w:val="0"/>
                <w:sz w:val="24"/>
                <w:szCs w:val="24"/>
                <w:lang w:eastAsia="zh-CN"/>
              </w:rPr>
              <w:t>本</w:t>
            </w:r>
            <w:r>
              <w:rPr>
                <w:kern w:val="0"/>
                <w:sz w:val="24"/>
                <w:szCs w:val="24"/>
              </w:rPr>
              <w:t>年项目数量</w:t>
            </w:r>
          </w:p>
        </w:tc>
        <w:tc>
          <w:tcPr>
            <w:tcW w:w="155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本年增/减</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处理决定数量</w:t>
            </w:r>
          </w:p>
        </w:tc>
      </w:tr>
      <w:tr>
        <w:trPr>
          <w:trHeight w:val="430"/>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sz w:val="24"/>
                <w:szCs w:val="24"/>
              </w:rPr>
            </w:pPr>
            <w:r>
              <w:rPr>
                <w:kern w:val="0"/>
                <w:sz w:val="24"/>
                <w:szCs w:val="24"/>
              </w:rPr>
              <w:t>行政处罚</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center"/>
              <w:rPr>
                <w:rFonts w:eastAsia="宋体" w:hint="eastAsia"/>
                <w:sz w:val="24"/>
                <w:szCs w:val="24"/>
                <w:lang w:eastAsia="zh-CN"/>
              </w:rPr>
            </w:pPr>
            <w:r>
              <w:rPr>
                <w:rFonts w:hint="eastAsia"/>
                <w:kern w:val="0"/>
                <w:sz w:val="24"/>
                <w:szCs w:val="24"/>
                <w:lang w:val="en-US" w:eastAsia="zh-CN"/>
              </w:rPr>
              <w:t>2</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sz w:val="24"/>
                <w:szCs w:val="24"/>
                <w:lang w:val="en-US"/>
              </w:rPr>
            </w:pPr>
            <w:r>
              <w:rPr>
                <w:kern w:val="0"/>
                <w:sz w:val="24"/>
                <w:szCs w:val="24"/>
              </w:rPr>
              <w:t>　</w:t>
            </w:r>
            <w:r>
              <w:rPr>
                <w:kern w:val="0"/>
                <w:sz w:val="24"/>
                <w:szCs w:val="24"/>
                <w:lang w:eastAsia="zh-CN"/>
              </w:rPr>
              <w:t>-</w:t>
            </w:r>
            <w:r>
              <w:rPr>
                <w:rFonts w:hint="eastAsia"/>
                <w:kern w:val="0"/>
                <w:sz w:val="24"/>
                <w:szCs w:val="24"/>
                <w:lang w:val="en-US" w:eastAsia="zh-CN"/>
              </w:rPr>
              <w:t>126</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center"/>
              <w:rPr>
                <w:rFonts w:eastAsia="宋体" w:hint="eastAsia"/>
                <w:sz w:val="24"/>
                <w:szCs w:val="24"/>
                <w:lang w:val="en-US" w:eastAsia="zh-CN"/>
              </w:rPr>
            </w:pPr>
            <w:r>
              <w:rPr>
                <w:rFonts w:hint="eastAsia"/>
                <w:kern w:val="0"/>
                <w:sz w:val="24"/>
                <w:szCs w:val="24"/>
                <w:lang w:val="en-US" w:eastAsia="zh-CN"/>
              </w:rPr>
              <w:t>2</w:t>
            </w:r>
          </w:p>
        </w:tc>
      </w:tr>
      <w:tr>
        <w:trPr>
          <w:trHeight w:val="409"/>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sz w:val="24"/>
                <w:szCs w:val="24"/>
              </w:rPr>
            </w:pPr>
            <w:r>
              <w:rPr>
                <w:kern w:val="0"/>
                <w:sz w:val="24"/>
                <w:szCs w:val="24"/>
              </w:rPr>
              <w:t>行政强制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center"/>
              <w:rPr>
                <w:rFonts w:eastAsia="宋体" w:hint="eastAsia"/>
                <w:sz w:val="24"/>
                <w:szCs w:val="24"/>
                <w:lang w:eastAsia="zh-CN"/>
              </w:rPr>
            </w:pPr>
            <w:r>
              <w:rPr>
                <w:rFonts w:hint="eastAsia"/>
                <w:kern w:val="0"/>
                <w:sz w:val="24"/>
                <w:szCs w:val="24"/>
                <w:lang w:val="en-US" w:eastAsia="zh-CN"/>
              </w:rPr>
              <w:t>2</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rFonts w:eastAsia="宋体"/>
                <w:sz w:val="24"/>
                <w:szCs w:val="24"/>
                <w:lang w:val="en-US" w:eastAsia="zh-CN"/>
              </w:rPr>
            </w:pPr>
            <w:r>
              <w:rPr>
                <w:rFonts w:hint="eastAsia"/>
                <w:kern w:val="0"/>
                <w:sz w:val="24"/>
                <w:szCs w:val="24"/>
                <w:lang w:val="en-US" w:eastAsia="zh-CN"/>
              </w:rPr>
              <w:t xml:space="preserve"> </w:t>
            </w:r>
            <w:r>
              <w:rPr>
                <w:kern w:val="0"/>
                <w:sz w:val="24"/>
                <w:szCs w:val="24"/>
                <w:lang w:val="en-US" w:eastAsia="zh-CN"/>
              </w:rPr>
              <w:t>-</w:t>
            </w:r>
            <w:r>
              <w:rPr>
                <w:rFonts w:hint="eastAsia"/>
                <w:kern w:val="0"/>
                <w:sz w:val="24"/>
                <w:szCs w:val="24"/>
                <w:lang w:val="en-US" w:eastAsia="zh-CN"/>
              </w:rPr>
              <w:t>14</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center"/>
              <w:rPr>
                <w:rFonts w:eastAsia="宋体" w:hint="eastAsia"/>
                <w:sz w:val="24"/>
                <w:szCs w:val="24"/>
                <w:lang w:eastAsia="zh-CN"/>
              </w:rPr>
            </w:pPr>
            <w:r>
              <w:rPr>
                <w:rFonts w:hint="eastAsia"/>
                <w:kern w:val="0"/>
                <w:sz w:val="24"/>
                <w:szCs w:val="24"/>
                <w:lang w:val="en-US" w:eastAsia="zh-CN"/>
              </w:rPr>
              <w:t>2</w:t>
            </w:r>
          </w:p>
        </w:tc>
      </w:tr>
      <w:tr>
        <w:trPr>
          <w:trHeight w:val="474"/>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第二十条第（八）项</w:t>
            </w:r>
          </w:p>
        </w:tc>
      </w:tr>
      <w:tr>
        <w:trPr>
          <w:trHeight w:val="270"/>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信息内容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sz w:val="24"/>
                <w:szCs w:val="24"/>
              </w:rPr>
            </w:pPr>
            <w:r>
              <w:rPr>
                <w:rFonts w:hint="eastAsia"/>
                <w:kern w:val="0"/>
                <w:sz w:val="24"/>
                <w:szCs w:val="24"/>
                <w:lang w:eastAsia="zh-CN"/>
              </w:rPr>
              <w:t>本年</w:t>
            </w:r>
            <w:r>
              <w:rPr>
                <w:kern w:val="0"/>
                <w:sz w:val="24"/>
                <w:szCs w:val="24"/>
              </w:rPr>
              <w:t>项目数量</w:t>
            </w:r>
          </w:p>
        </w:tc>
        <w:tc>
          <w:tcPr>
            <w:tcW w:w="4997" w:type="dxa"/>
            <w:gridSpan w:val="2"/>
            <w:tcBorders>
              <w:top w:val="single" w:sz="8" w:space="0" w:color="auto"/>
              <w:left w:val="nil"/>
              <w:bottom w:val="single" w:sz="8" w:space="0" w:color="auto"/>
              <w:right w:val="single" w:sz="8" w:space="0" w:color="00000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本年增/减</w:t>
            </w:r>
          </w:p>
        </w:tc>
      </w:tr>
      <w:tr>
        <w:trPr>
          <w:trHeight w:val="347"/>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sz w:val="24"/>
                <w:szCs w:val="24"/>
              </w:rPr>
            </w:pPr>
            <w:r>
              <w:rPr>
                <w:kern w:val="0"/>
                <w:sz w:val="24"/>
                <w:szCs w:val="24"/>
              </w:rPr>
              <w:t>行政事业性收费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rFonts w:eastAsia="宋体" w:hint="eastAsia"/>
                <w:sz w:val="24"/>
                <w:szCs w:val="24"/>
                <w:lang w:eastAsia="zh-CN"/>
              </w:rPr>
            </w:pPr>
            <w:r>
              <w:rPr>
                <w:kern w:val="0"/>
                <w:sz w:val="24"/>
                <w:szCs w:val="24"/>
              </w:rPr>
              <w:t>　</w:t>
            </w:r>
            <w:r>
              <w:rPr>
                <w:rFonts w:hint="eastAsia"/>
                <w:kern w:val="0"/>
                <w:sz w:val="24"/>
                <w:szCs w:val="24"/>
                <w:lang w:val="en-US" w:eastAsia="zh-CN"/>
              </w:rPr>
              <w:t>0</w:t>
            </w:r>
          </w:p>
        </w:tc>
        <w:tc>
          <w:tcPr>
            <w:tcW w:w="4997" w:type="dxa"/>
            <w:gridSpan w:val="2"/>
            <w:tcBorders>
              <w:top w:val="nil"/>
              <w:left w:val="nil"/>
              <w:bottom w:val="single" w:sz="8" w:space="0" w:color="auto"/>
              <w:right w:val="single" w:sz="8" w:space="0" w:color="000000"/>
            </w:tcBorders>
            <w:shd w:val="clear" w:color="auto" w:fill="auto"/>
            <w:tcMar>
              <w:left w:w="108" w:type="dxa"/>
              <w:right w:w="108" w:type="dxa"/>
            </w:tcMar>
            <w:vAlign w:val="center"/>
          </w:tcPr>
          <w:p>
            <w:pPr>
              <w:widowControl/>
              <w:adjustRightInd w:val="0"/>
              <w:snapToGrid w:val="0"/>
              <w:spacing w:after="180" w:line="560" w:lineRule="exact"/>
              <w:jc w:val="center"/>
              <w:rPr>
                <w:rFonts w:eastAsia="宋体" w:hint="eastAsia"/>
                <w:sz w:val="24"/>
                <w:szCs w:val="24"/>
                <w:lang w:eastAsia="zh-CN"/>
              </w:rPr>
            </w:pPr>
            <w:r>
              <w:rPr>
                <w:rFonts w:hint="eastAsia"/>
                <w:kern w:val="0"/>
                <w:sz w:val="24"/>
                <w:szCs w:val="24"/>
                <w:lang w:val="en-US" w:eastAsia="zh-CN"/>
              </w:rPr>
              <w:t>0</w:t>
            </w:r>
          </w:p>
        </w:tc>
      </w:tr>
      <w:tr>
        <w:trPr>
          <w:trHeight w:val="476"/>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第二十条第（九）项</w:t>
            </w:r>
          </w:p>
        </w:tc>
      </w:tr>
      <w:tr>
        <w:trPr>
          <w:trHeight w:val="419"/>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信息内容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采购项目数量</w:t>
            </w:r>
          </w:p>
        </w:tc>
        <w:tc>
          <w:tcPr>
            <w:tcW w:w="4997" w:type="dxa"/>
            <w:gridSpan w:val="2"/>
            <w:tcBorders>
              <w:top w:val="single" w:sz="8" w:space="0" w:color="auto"/>
              <w:left w:val="nil"/>
              <w:bottom w:val="single" w:sz="8" w:space="0" w:color="auto"/>
              <w:right w:val="single" w:sz="8" w:space="0" w:color="00000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采购总金额</w:t>
            </w:r>
          </w:p>
        </w:tc>
      </w:tr>
      <w:tr>
        <w:trPr>
          <w:trHeight w:val="539"/>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sz w:val="24"/>
                <w:szCs w:val="24"/>
              </w:rPr>
            </w:pPr>
            <w:r>
              <w:rPr>
                <w:kern w:val="0"/>
                <w:sz w:val="24"/>
                <w:szCs w:val="24"/>
              </w:rPr>
              <w:t>政府集中采购</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560" w:lineRule="exact"/>
              <w:jc w:val="left"/>
              <w:rPr>
                <w:rFonts w:eastAsia="宋体" w:hint="eastAsia"/>
                <w:sz w:val="24"/>
                <w:szCs w:val="24"/>
                <w:lang w:eastAsia="zh-CN"/>
              </w:rPr>
            </w:pPr>
            <w:r>
              <w:rPr>
                <w:kern w:val="0"/>
                <w:sz w:val="24"/>
                <w:szCs w:val="24"/>
              </w:rPr>
              <w:t>　</w:t>
            </w:r>
            <w:r>
              <w:rPr>
                <w:rFonts w:hint="eastAsia"/>
                <w:kern w:val="0"/>
                <w:sz w:val="24"/>
                <w:szCs w:val="24"/>
                <w:lang w:val="en-US" w:eastAsia="zh-CN"/>
              </w:rPr>
              <w:t>7</w:t>
            </w:r>
          </w:p>
        </w:tc>
        <w:tc>
          <w:tcPr>
            <w:tcW w:w="4997" w:type="dxa"/>
            <w:gridSpan w:val="2"/>
            <w:tcBorders>
              <w:top w:val="nil"/>
              <w:left w:val="nil"/>
              <w:bottom w:val="single" w:sz="8" w:space="0" w:color="auto"/>
              <w:right w:val="single" w:sz="8" w:space="0" w:color="000000"/>
            </w:tcBorders>
            <w:shd w:val="clear" w:color="auto" w:fill="auto"/>
            <w:tcMar>
              <w:left w:w="108" w:type="dxa"/>
              <w:right w:w="108" w:type="dxa"/>
            </w:tcMar>
            <w:vAlign w:val="center"/>
          </w:tcPr>
          <w:p>
            <w:pPr>
              <w:adjustRightInd w:val="0"/>
              <w:snapToGrid w:val="0"/>
              <w:spacing w:line="560" w:lineRule="exact"/>
              <w:rPr>
                <w:sz w:val="24"/>
                <w:szCs w:val="24"/>
              </w:rPr>
            </w:pPr>
            <w:r>
              <w:rPr>
                <w:rFonts w:hint="eastAsia"/>
                <w:sz w:val="24"/>
                <w:szCs w:val="24"/>
                <w:lang w:val="en-US" w:eastAsia="zh-CN"/>
              </w:rPr>
              <w:t>5959.811</w:t>
            </w:r>
            <w:r>
              <w:rPr>
                <w:sz w:val="24"/>
                <w:szCs w:val="24"/>
                <w:lang w:val="en-US" w:eastAsia="zh-CN"/>
              </w:rPr>
              <w:t>万</w:t>
            </w:r>
            <w:bookmarkStart w:id="1" w:name="_GoBack"/>
            <w:bookmarkEnd w:id="1"/>
            <w:r>
              <w:rPr>
                <w:sz w:val="24"/>
                <w:szCs w:val="24"/>
              </w:rPr>
              <w:t>元</w:t>
            </w:r>
          </w:p>
        </w:tc>
      </w:tr>
    </w:tbl>
    <w:p>
      <w:pPr>
        <w:pStyle w:val="18"/>
        <w:widowControl/>
        <w:shd w:val="clear" w:color="auto" w:fill="FFFFFF"/>
        <w:spacing w:beforeAutospacing="0" w:afterAutospacing="0" w:line="560" w:lineRule="exact"/>
        <w:ind w:firstLine="420"/>
        <w:jc w:val="both"/>
        <w:rPr>
          <w:szCs w:val="24"/>
        </w:rPr>
      </w:pPr>
    </w:p>
    <w:p>
      <w:pPr>
        <w:pStyle w:val="18"/>
        <w:widowControl/>
        <w:shd w:val="clear" w:color="auto" w:fill="FFFFFF"/>
        <w:spacing w:beforeAutospacing="0" w:after="240" w:afterAutospacing="0" w:line="560" w:lineRule="exact"/>
        <w:ind w:firstLineChars="200" w:firstLine="640"/>
        <w:jc w:val="both"/>
        <w:rPr>
          <w:rFonts w:eastAsia="方正黑体_GBK"/>
          <w:bCs/>
          <w:sz w:val="32"/>
          <w:szCs w:val="32"/>
          <w:shd w:val="clear" w:color="auto" w:fill="FFFFFF"/>
        </w:rPr>
      </w:pPr>
      <w:r>
        <w:rPr>
          <w:rFonts w:eastAsia="方正黑体_GBK"/>
          <w:bCs/>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867"/>
        <w:gridCol w:w="1803"/>
        <w:gridCol w:w="635"/>
        <w:gridCol w:w="675"/>
        <w:gridCol w:w="750"/>
        <w:gridCol w:w="765"/>
        <w:gridCol w:w="765"/>
        <w:gridCol w:w="497"/>
        <w:gridCol w:w="682"/>
      </w:tblGrid>
      <w:tr>
        <w:tc>
          <w:tcPr>
            <w:tcW w:w="4302" w:type="dxa"/>
            <w:gridSpan w:val="4"/>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pPr>
            <w:r>
              <w:rPr>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pPr>
            <w:r>
              <w:rPr>
                <w:kern w:val="0"/>
                <w:sz w:val="20"/>
                <w:szCs w:val="20"/>
              </w:rPr>
              <w:t>申请人情况</w:t>
            </w:r>
          </w:p>
        </w:tc>
      </w:tr>
      <w:tr>
        <w:tc>
          <w:tcPr>
            <w:tcW w:w="4302" w:type="dxa"/>
            <w:gridSpan w:val="4"/>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pPr>
            <w:r>
              <w:rPr>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pPr>
            <w:r>
              <w:rPr>
                <w:kern w:val="0"/>
                <w:sz w:val="20"/>
                <w:szCs w:val="20"/>
              </w:rPr>
              <w:t>总计</w:t>
            </w:r>
          </w:p>
        </w:tc>
      </w:tr>
      <w:tr>
        <w:tc>
          <w:tcPr>
            <w:tcW w:w="4302" w:type="dxa"/>
            <w:gridSpan w:val="4"/>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pPr>
            <w:r>
              <w:rPr>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pPr>
            <w:r>
              <w:rPr>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pPr>
            <w:r>
              <w:rPr>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pPr>
            <w:r>
              <w:rPr>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r>
      <w:tr>
        <w:tc>
          <w:tcPr>
            <w:tcW w:w="4302" w:type="dxa"/>
            <w:gridSpan w:val="4"/>
            <w:tcBorders>
              <w:top w:val="nil"/>
              <w:left w:val="single" w:sz="8" w:space="0" w:color="auto"/>
              <w:bottom w:val="single" w:sz="8" w:space="0" w:color="auto"/>
              <w:right w:val="single" w:sz="8" w:space="0" w:color="auto"/>
            </w:tcBorders>
            <w:shd w:val="clear" w:color="auto" w:fill="auto"/>
            <w:tcMar>
              <w:left w:w="108" w:type="dxa"/>
              <w:right w:w="108" w:type="dxa"/>
            </w:tcMar>
          </w:tcPr>
          <w:p>
            <w:pPr>
              <w:widowControl/>
              <w:spacing w:after="180" w:line="560" w:lineRule="exact"/>
              <w:jc w:val="left"/>
              <w:rPr>
                <w:sz w:val="24"/>
                <w:szCs w:val="24"/>
              </w:rPr>
            </w:pPr>
            <w:r>
              <w:rPr>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line="560" w:lineRule="exact"/>
              <w:jc w:val="left"/>
              <w:rPr>
                <w:rFonts w:eastAsia="宋体" w:hint="eastAsia"/>
                <w:lang w:val="en-US" w:eastAsia="zh-CN"/>
              </w:rPr>
            </w:pPr>
            <w:r>
              <w:rPr>
                <w:kern w:val="0"/>
                <w:sz w:val="20"/>
                <w:szCs w:val="20"/>
              </w:rPr>
              <w:t> </w:t>
            </w:r>
            <w:r>
              <w:rPr>
                <w:rFonts w:hint="eastAsia"/>
                <w:kern w:val="0"/>
                <w:sz w:val="20"/>
                <w:szCs w:val="20"/>
                <w:lang w:val="en-US" w:eastAsia="zh-CN"/>
              </w:rPr>
              <w:t>4</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line="560" w:lineRule="exact"/>
              <w:jc w:val="left"/>
            </w:pPr>
            <w:r>
              <w:rPr>
                <w:kern w:val="0"/>
                <w:sz w:val="20"/>
                <w:szCs w:val="20"/>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line="560" w:lineRule="exact"/>
              <w:jc w:val="left"/>
            </w:pPr>
            <w:r>
              <w:rPr>
                <w:kern w:val="0"/>
                <w:sz w:val="20"/>
                <w:szCs w:val="20"/>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line="560" w:lineRule="exact"/>
              <w:jc w:val="left"/>
            </w:pPr>
            <w:r>
              <w:rPr>
                <w:kern w:val="0"/>
                <w:sz w:val="20"/>
                <w:szCs w:val="20"/>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tabs>
                <w:tab w:val="left" w:pos="286"/>
              </w:tabs>
              <w:spacing w:after="180" w:line="560" w:lineRule="exact"/>
              <w:jc w:val="left"/>
              <w:rPr>
                <w:rFonts w:eastAsia="宋体" w:hint="eastAsia"/>
                <w:lang w:val="en-US" w:eastAsia="zh-CN"/>
              </w:rPr>
            </w:pPr>
            <w:r>
              <w:rPr>
                <w:kern w:val="0"/>
                <w:sz w:val="20"/>
                <w:szCs w:val="20"/>
              </w:rPr>
              <w:t> </w:t>
            </w:r>
            <w:r>
              <w:rPr>
                <w:rFonts w:hint="eastAsia"/>
                <w:kern w:val="0"/>
                <w:sz w:val="20"/>
                <w:szCs w:val="20"/>
                <w:lang w:val="en-US" w:eastAsia="zh-CN"/>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line="560" w:lineRule="exact"/>
              <w:jc w:val="left"/>
              <w:rPr>
                <w:rFonts w:eastAsia="宋体" w:hint="eastAsia"/>
                <w:lang w:eastAsia="zh-CN"/>
              </w:rPr>
            </w:pPr>
            <w:r>
              <w:rPr>
                <w:kern w:val="0"/>
                <w:sz w:val="20"/>
                <w:szCs w:val="20"/>
              </w:rPr>
              <w:t> </w:t>
            </w:r>
            <w:r>
              <w:rPr>
                <w:rFonts w:hint="eastAsia"/>
                <w:kern w:val="0"/>
                <w:sz w:val="20"/>
                <w:szCs w:val="20"/>
                <w:lang w:val="en-US" w:eastAsia="zh-CN"/>
              </w:rPr>
              <w:t>4</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line="560" w:lineRule="exact"/>
              <w:jc w:val="left"/>
              <w:rPr>
                <w:rFonts w:eastAsia="宋体" w:hint="eastAsia"/>
                <w:lang w:eastAsia="zh-CN"/>
              </w:rPr>
            </w:pPr>
            <w:r>
              <w:rPr>
                <w:kern w:val="0"/>
                <w:sz w:val="20"/>
                <w:szCs w:val="20"/>
              </w:rPr>
              <w:t> </w:t>
            </w:r>
            <w:r>
              <w:rPr>
                <w:rFonts w:hint="eastAsia"/>
                <w:kern w:val="0"/>
                <w:sz w:val="20"/>
                <w:szCs w:val="20"/>
                <w:lang w:val="en-US" w:eastAsia="zh-CN"/>
              </w:rPr>
              <w:t>4</w:t>
            </w:r>
          </w:p>
        </w:tc>
      </w:tr>
      <w:tr>
        <w:tc>
          <w:tcPr>
            <w:tcW w:w="4302" w:type="dxa"/>
            <w:gridSpan w:val="4"/>
            <w:tcBorders>
              <w:top w:val="nil"/>
              <w:left w:val="single" w:sz="8" w:space="0" w:color="auto"/>
              <w:bottom w:val="single" w:sz="8" w:space="0" w:color="auto"/>
              <w:right w:val="single" w:sz="8" w:space="0" w:color="auto"/>
            </w:tcBorders>
            <w:shd w:val="clear" w:color="auto" w:fill="auto"/>
            <w:tcMar>
              <w:left w:w="108" w:type="dxa"/>
              <w:right w:w="108" w:type="dxa"/>
            </w:tcMar>
          </w:tcPr>
          <w:p>
            <w:pPr>
              <w:widowControl/>
              <w:spacing w:after="180" w:line="560" w:lineRule="exact"/>
              <w:jc w:val="left"/>
              <w:rPr>
                <w:sz w:val="24"/>
                <w:szCs w:val="24"/>
              </w:rPr>
            </w:pPr>
            <w:r>
              <w:rPr>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line="560" w:lineRule="exact"/>
              <w:jc w:val="left"/>
            </w:pPr>
            <w:r>
              <w:rPr>
                <w:kern w:val="0"/>
                <w:sz w:val="20"/>
                <w:szCs w:val="20"/>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line="560" w:lineRule="exact"/>
              <w:jc w:val="left"/>
            </w:pPr>
            <w:r>
              <w:rPr>
                <w:kern w:val="0"/>
                <w:sz w:val="20"/>
                <w:szCs w:val="20"/>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line="560" w:lineRule="exact"/>
              <w:jc w:val="left"/>
            </w:pPr>
            <w:r>
              <w:rPr>
                <w:kern w:val="0"/>
                <w:sz w:val="20"/>
                <w:szCs w:val="20"/>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line="560" w:lineRule="exact"/>
              <w:jc w:val="left"/>
            </w:pPr>
            <w:r>
              <w:rPr>
                <w:kern w:val="0"/>
                <w:sz w:val="20"/>
                <w:szCs w:val="20"/>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line="560" w:lineRule="exact"/>
              <w:jc w:val="left"/>
            </w:pPr>
            <w:r>
              <w:rPr>
                <w:kern w:val="0"/>
                <w:sz w:val="20"/>
                <w:szCs w:val="20"/>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line="560" w:lineRule="exact"/>
              <w:jc w:val="left"/>
            </w:pPr>
            <w:r>
              <w:rPr>
                <w:kern w:val="0"/>
                <w:sz w:val="20"/>
                <w:szCs w:val="20"/>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line="560" w:lineRule="exact"/>
              <w:jc w:val="left"/>
            </w:pPr>
            <w:r>
              <w:rPr>
                <w:kern w:val="0"/>
                <w:sz w:val="20"/>
                <w:szCs w:val="20"/>
              </w:rPr>
              <w:t> 0</w:t>
            </w:r>
          </w:p>
        </w:tc>
      </w:tr>
      <w:t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三、本年度办理结果</w:t>
            </w:r>
          </w:p>
        </w:tc>
        <w:tc>
          <w:tcPr>
            <w:tcW w:w="3606"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rPr>
                <w:rFonts w:eastAsia="宋体" w:hint="eastAsia"/>
                <w:sz w:val="24"/>
                <w:szCs w:val="24"/>
                <w:lang w:eastAsia="zh-CN"/>
              </w:rPr>
            </w:pPr>
            <w:r>
              <w:rPr>
                <w:rFonts w:hint="eastAsia"/>
                <w:kern w:val="0"/>
                <w:sz w:val="24"/>
                <w:szCs w:val="24"/>
                <w:lang w:val="en-US" w:eastAsia="zh-CN"/>
              </w:rPr>
              <w:t>3</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rPr>
                <w:sz w:val="24"/>
                <w:szCs w:val="24"/>
              </w:rPr>
            </w:pPr>
            <w:r>
              <w:rPr>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rPr>
                <w:rFonts w:eastAsia="宋体" w:hint="eastAsia"/>
                <w:sz w:val="24"/>
                <w:szCs w:val="24"/>
                <w:lang w:eastAsia="zh-CN"/>
              </w:rPr>
            </w:pPr>
            <w:r>
              <w:rPr>
                <w:rFonts w:hint="eastAsia"/>
                <w:sz w:val="24"/>
                <w:szCs w:val="24"/>
                <w:lang w:val="en-US" w:eastAsia="zh-CN"/>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eastAsia="宋体" w:hint="eastAsia"/>
                <w:sz w:val="24"/>
                <w:szCs w:val="24"/>
                <w:lang w:eastAsia="zh-CN"/>
              </w:rPr>
            </w:pPr>
            <w:r>
              <w:rPr>
                <w:kern w:val="0"/>
                <w:sz w:val="24"/>
                <w:szCs w:val="24"/>
              </w:rPr>
              <w:t> </w:t>
            </w:r>
            <w:r>
              <w:rPr>
                <w:rFonts w:hint="eastAsia"/>
                <w:kern w:val="0"/>
                <w:sz w:val="24"/>
                <w:szCs w:val="24"/>
                <w:lang w:val="en-US" w:eastAsia="zh-CN"/>
              </w:rPr>
              <w:t>3</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eastAsia="宋体" w:hint="eastAsia"/>
                <w:sz w:val="24"/>
                <w:szCs w:val="24"/>
                <w:lang w:val="en-US" w:eastAsia="zh-CN"/>
              </w:rPr>
            </w:pPr>
            <w:r>
              <w:rPr>
                <w:kern w:val="0"/>
                <w:sz w:val="24"/>
                <w:szCs w:val="24"/>
              </w:rPr>
              <w:t> </w:t>
            </w:r>
            <w:r>
              <w:rPr>
                <w:rFonts w:hint="eastAsia"/>
                <w:kern w:val="0"/>
                <w:sz w:val="24"/>
                <w:szCs w:val="24"/>
                <w:lang w:val="en-US" w:eastAsia="zh-CN"/>
              </w:rPr>
              <w:t>3</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（三）不予公开</w:t>
            </w:r>
          </w:p>
        </w:tc>
        <w:tc>
          <w:tcPr>
            <w:tcW w:w="267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3.危及“三安全一稳定”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（四）无法提供</w:t>
            </w:r>
          </w:p>
        </w:tc>
        <w:tc>
          <w:tcPr>
            <w:tcW w:w="267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（五）不予处理</w:t>
            </w:r>
          </w:p>
        </w:tc>
        <w:tc>
          <w:tcPr>
            <w:tcW w:w="267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eastAsia="宋体" w:hint="eastAsia"/>
                <w:sz w:val="24"/>
                <w:szCs w:val="24"/>
                <w:lang w:eastAsia="zh-CN"/>
              </w:rPr>
            </w:pPr>
            <w:r>
              <w:rPr>
                <w:kern w:val="0"/>
                <w:sz w:val="24"/>
                <w:szCs w:val="24"/>
              </w:rPr>
              <w:t> </w:t>
            </w:r>
            <w:r>
              <w:rPr>
                <w:rFonts w:hint="eastAsia"/>
                <w:kern w:val="0"/>
                <w:sz w:val="24"/>
                <w:szCs w:val="24"/>
                <w:lang w:val="en-US" w:eastAsia="zh-CN"/>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eastAsia="宋体" w:hint="eastAsia"/>
                <w:sz w:val="24"/>
                <w:szCs w:val="24"/>
                <w:lang w:eastAsia="zh-CN"/>
              </w:rPr>
            </w:pPr>
            <w:r>
              <w:rPr>
                <w:rFonts w:hint="eastAsia"/>
                <w:kern w:val="0"/>
                <w:sz w:val="24"/>
                <w:szCs w:val="24"/>
                <w:lang w:val="en-US" w:eastAsia="zh-CN"/>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r>
      <w:tr>
        <w:trPr>
          <w:trHeight w:val="246"/>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1803" w:type="dxa"/>
            <w:gridSpan w:val="2"/>
            <w:vMerge w:val="restart"/>
            <w:tcBorders>
              <w:top w:val="nil"/>
              <w:left w:val="nil"/>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（六）其他处理</w:t>
            </w:r>
          </w:p>
        </w:tc>
        <w:tc>
          <w:tcPr>
            <w:tcW w:w="180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rFonts w:eastAsia="楷体"/>
                <w:kern w:val="0"/>
                <w:sz w:val="24"/>
                <w:szCs w:val="24"/>
              </w:rPr>
            </w:pPr>
            <w:r>
              <w:rPr>
                <w:rFonts w:eastAsia="楷体" w:hint="eastAsia"/>
                <w:kern w:val="0"/>
                <w:sz w:val="21"/>
                <w:szCs w:val="21"/>
              </w:rPr>
              <w:t>1.申请人撤销申请</w:t>
            </w:r>
          </w:p>
        </w:tc>
        <w:tc>
          <w:tcPr>
            <w:tcW w:w="635" w:type="dxa"/>
            <w:tcBorders>
              <w:top w:val="nil"/>
              <w:left w:val="nil"/>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rFonts w:hint="eastAsia"/>
                <w:kern w:val="0"/>
                <w:sz w:val="24"/>
                <w:szCs w:val="24"/>
                <w:lang w:val="en-US" w:eastAsia="zh-CN"/>
              </w:rPr>
              <w:t>1</w:t>
            </w:r>
            <w:r>
              <w:rPr>
                <w:kern w:val="0"/>
                <w:sz w:val="24"/>
                <w:szCs w:val="24"/>
              </w:rPr>
              <w:t> </w:t>
            </w:r>
          </w:p>
        </w:tc>
        <w:tc>
          <w:tcPr>
            <w:tcW w:w="675" w:type="dxa"/>
            <w:tcBorders>
              <w:top w:val="nil"/>
              <w:left w:val="nil"/>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kern w:val="0"/>
                <w:sz w:val="24"/>
                <w:szCs w:val="24"/>
              </w:rPr>
              <w:t> </w:t>
            </w:r>
            <w:r>
              <w:rPr>
                <w:rFonts w:eastAsia="楷体"/>
                <w:kern w:val="0"/>
                <w:sz w:val="24"/>
                <w:szCs w:val="24"/>
              </w:rPr>
              <w:t>0</w:t>
            </w:r>
          </w:p>
        </w:tc>
        <w:tc>
          <w:tcPr>
            <w:tcW w:w="750" w:type="dxa"/>
            <w:tcBorders>
              <w:top w:val="nil"/>
              <w:left w:val="nil"/>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rFonts w:hint="eastAsia"/>
                <w:kern w:val="0"/>
                <w:sz w:val="24"/>
                <w:szCs w:val="24"/>
                <w:lang w:val="en-US" w:eastAsia="zh-CN"/>
              </w:rPr>
              <w:t>1</w:t>
            </w:r>
            <w:r>
              <w:rPr>
                <w:kern w:val="0"/>
                <w:sz w:val="24"/>
                <w:szCs w:val="24"/>
              </w:rPr>
              <w:t> </w:t>
            </w:r>
          </w:p>
        </w:tc>
        <w:tc>
          <w:tcPr>
            <w:tcW w:w="682" w:type="dxa"/>
            <w:tcBorders>
              <w:top w:val="nil"/>
              <w:left w:val="nil"/>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hint="eastAsia"/>
                <w:kern w:val="2"/>
                <w:sz w:val="24"/>
                <w:szCs w:val="24"/>
                <w:lang w:val="en-US" w:eastAsia="zh-CN" w:bidi="ar-SA"/>
              </w:rPr>
            </w:pPr>
            <w:r>
              <w:rPr>
                <w:rFonts w:hint="eastAsia"/>
                <w:kern w:val="0"/>
                <w:sz w:val="24"/>
                <w:szCs w:val="24"/>
                <w:lang w:val="en-US" w:eastAsia="zh-CN"/>
              </w:rPr>
              <w:t>1</w:t>
            </w:r>
          </w:p>
        </w:tc>
      </w:tr>
      <w:tr>
        <w:trPr>
          <w:trHeight w:val="246"/>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1803" w:type="dxa"/>
            <w:gridSpan w:val="2"/>
            <w:vMerge/>
            <w:tcBorders>
              <w:left w:val="nil"/>
              <w:right w:val="single" w:sz="8" w:space="0" w:color="auto"/>
            </w:tcBorders>
            <w:shd w:val="clear" w:color="auto" w:fill="auto"/>
            <w:tcMar>
              <w:left w:w="108" w:type="dxa"/>
              <w:right w:w="108" w:type="dxa"/>
            </w:tcMar>
            <w:vAlign w:val="center"/>
          </w:tcPr>
          <w:p/>
        </w:tc>
        <w:tc>
          <w:tcPr>
            <w:tcW w:w="180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rFonts w:eastAsia="楷体"/>
                <w:kern w:val="0"/>
                <w:sz w:val="24"/>
                <w:szCs w:val="24"/>
              </w:rPr>
            </w:pPr>
            <w:r>
              <w:rPr>
                <w:rFonts w:eastAsia="楷体" w:hint="eastAsia"/>
                <w:kern w:val="0"/>
                <w:sz w:val="24"/>
                <w:szCs w:val="24"/>
              </w:rPr>
              <w:t>2.咨询事项，指引咨询渠道</w:t>
            </w:r>
          </w:p>
        </w:tc>
        <w:tc>
          <w:tcPr>
            <w:tcW w:w="635" w:type="dxa"/>
            <w:tcBorders>
              <w:left w:val="nil"/>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 0</w:t>
            </w:r>
          </w:p>
        </w:tc>
        <w:tc>
          <w:tcPr>
            <w:tcW w:w="675" w:type="dxa"/>
            <w:tcBorders>
              <w:left w:val="nil"/>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 0</w:t>
            </w:r>
          </w:p>
        </w:tc>
        <w:tc>
          <w:tcPr>
            <w:tcW w:w="750" w:type="dxa"/>
            <w:tcBorders>
              <w:left w:val="nil"/>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0 </w:t>
            </w:r>
          </w:p>
        </w:tc>
        <w:tc>
          <w:tcPr>
            <w:tcW w:w="765" w:type="dxa"/>
            <w:tcBorders>
              <w:left w:val="nil"/>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0 </w:t>
            </w:r>
          </w:p>
        </w:tc>
        <w:tc>
          <w:tcPr>
            <w:tcW w:w="765" w:type="dxa"/>
            <w:tcBorders>
              <w:left w:val="nil"/>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 0</w:t>
            </w:r>
          </w:p>
        </w:tc>
        <w:tc>
          <w:tcPr>
            <w:tcW w:w="497" w:type="dxa"/>
            <w:tcBorders>
              <w:left w:val="nil"/>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 0</w:t>
            </w:r>
          </w:p>
        </w:tc>
        <w:tc>
          <w:tcPr>
            <w:tcW w:w="682" w:type="dxa"/>
            <w:tcBorders>
              <w:left w:val="nil"/>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 0</w:t>
            </w:r>
          </w:p>
        </w:tc>
      </w:tr>
      <w:tr>
        <w:trPr>
          <w:trHeight w:val="246"/>
        </w:trPr>
        <w:tc>
          <w:tcPr>
            <w:tcW w:w="696" w:type="dxa"/>
            <w:vMerge/>
            <w:tcBorders>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1803" w:type="dxa"/>
            <w:gridSpan w:val="2"/>
            <w:vMerge/>
            <w:tcBorders>
              <w:left w:val="nil"/>
              <w:bottom w:val="single" w:sz="8" w:space="0" w:color="auto"/>
              <w:right w:val="single" w:sz="8" w:space="0" w:color="auto"/>
            </w:tcBorders>
            <w:shd w:val="clear" w:color="auto" w:fill="auto"/>
            <w:tcMar>
              <w:left w:w="108" w:type="dxa"/>
              <w:right w:w="108" w:type="dxa"/>
            </w:tcMar>
            <w:vAlign w:val="center"/>
          </w:tcPr>
          <w:p/>
        </w:tc>
        <w:tc>
          <w:tcPr>
            <w:tcW w:w="180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rFonts w:eastAsia="楷体"/>
                <w:kern w:val="0"/>
                <w:sz w:val="24"/>
                <w:szCs w:val="24"/>
              </w:rPr>
            </w:pPr>
            <w:r>
              <w:rPr>
                <w:rFonts w:eastAsia="楷体" w:hint="eastAsia"/>
                <w:kern w:val="0"/>
                <w:sz w:val="24"/>
                <w:szCs w:val="24"/>
              </w:rPr>
              <w:t>3.逾期未补正</w:t>
            </w:r>
          </w:p>
        </w:tc>
        <w:tc>
          <w:tcPr>
            <w:tcW w:w="635" w:type="dxa"/>
            <w:tcBorders>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 0</w:t>
            </w:r>
          </w:p>
        </w:tc>
        <w:tc>
          <w:tcPr>
            <w:tcW w:w="675" w:type="dxa"/>
            <w:tcBorders>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 0</w:t>
            </w:r>
          </w:p>
        </w:tc>
        <w:tc>
          <w:tcPr>
            <w:tcW w:w="750" w:type="dxa"/>
            <w:tcBorders>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0 </w:t>
            </w:r>
          </w:p>
        </w:tc>
        <w:tc>
          <w:tcPr>
            <w:tcW w:w="765" w:type="dxa"/>
            <w:tcBorders>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0 </w:t>
            </w:r>
          </w:p>
        </w:tc>
        <w:tc>
          <w:tcPr>
            <w:tcW w:w="765" w:type="dxa"/>
            <w:tcBorders>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 0</w:t>
            </w:r>
          </w:p>
        </w:tc>
        <w:tc>
          <w:tcPr>
            <w:tcW w:w="497" w:type="dxa"/>
            <w:tcBorders>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 0</w:t>
            </w:r>
          </w:p>
        </w:tc>
        <w:tc>
          <w:tcPr>
            <w:tcW w:w="682" w:type="dxa"/>
            <w:tcBorders>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rPr>
                <w:sz w:val="24"/>
                <w:szCs w:val="24"/>
              </w:rPr>
            </w:pPr>
            <w:r>
              <w:rPr>
                <w:rFonts w:eastAsia="楷体"/>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sz w:val="24"/>
                <w:szCs w:val="24"/>
              </w:rPr>
              <w:t>4</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sz w:val="24"/>
                <w:szCs w:val="24"/>
              </w:rPr>
              <w:t>4</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ascii="Times New Roman" w:eastAsia="宋体" w:cs="Times New Roman" w:hAnsi="Times New Roman"/>
                <w:kern w:val="2"/>
                <w:sz w:val="24"/>
                <w:szCs w:val="24"/>
                <w:lang w:val="en-US" w:eastAsia="zh-CN" w:bidi="ar-SA"/>
              </w:rPr>
            </w:pPr>
            <w:r>
              <w:rPr>
                <w:sz w:val="24"/>
                <w:szCs w:val="24"/>
              </w:rPr>
              <w:t>4</w:t>
            </w:r>
          </w:p>
        </w:tc>
      </w:tr>
      <w:tr>
        <w:tc>
          <w:tcPr>
            <w:tcW w:w="4302" w:type="dxa"/>
            <w:gridSpan w:val="4"/>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left"/>
            </w:pPr>
            <w:r>
              <w:rPr>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pPr>
            <w:r>
              <w:rPr>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pPr>
            <w:r>
              <w:rPr>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pPr>
            <w:r>
              <w:rPr>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pPr>
            <w:r>
              <w:rPr>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rFonts w:eastAsia="宋体" w:hint="eastAsia"/>
                <w:lang w:eastAsia="zh-CN"/>
              </w:rPr>
            </w:pPr>
            <w:r>
              <w:rPr>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pPr>
            <w:r>
              <w:rPr>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spacing w:line="560" w:lineRule="exact"/>
              <w:jc w:val="center"/>
              <w:rPr>
                <w:sz w:val="24"/>
                <w:szCs w:val="24"/>
              </w:rPr>
            </w:pPr>
            <w:r>
              <w:rPr>
                <w:kern w:val="0"/>
                <w:sz w:val="20"/>
                <w:szCs w:val="20"/>
              </w:rPr>
              <w:t>0</w:t>
            </w:r>
          </w:p>
        </w:tc>
      </w:tr>
    </w:tbl>
    <w:p>
      <w:pPr>
        <w:pStyle w:val="18"/>
        <w:widowControl/>
        <w:shd w:val="clear" w:color="auto" w:fill="FFFFFF"/>
        <w:spacing w:beforeAutospacing="0" w:afterAutospacing="0" w:line="560" w:lineRule="exact"/>
        <w:jc w:val="both"/>
        <w:rPr>
          <w:rFonts w:eastAsia="楷体_GB2312"/>
          <w:bCs/>
          <w:sz w:val="32"/>
          <w:szCs w:val="32"/>
          <w:shd w:val="clear" w:color="auto" w:fill="FFFFFF"/>
        </w:rPr>
      </w:pPr>
    </w:p>
    <w:p>
      <w:pPr>
        <w:pStyle w:val="18"/>
        <w:widowControl/>
        <w:shd w:val="clear" w:color="auto" w:fill="FFFFFF"/>
        <w:spacing w:beforeAutospacing="0" w:after="240" w:afterAutospacing="0" w:line="560" w:lineRule="exact"/>
        <w:ind w:firstLineChars="200" w:firstLine="640"/>
        <w:jc w:val="both"/>
        <w:rPr>
          <w:szCs w:val="24"/>
        </w:rPr>
      </w:pPr>
      <w:r>
        <w:rPr>
          <w:rFonts w:eastAsia="方正黑体_GBK"/>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行政诉讼</w:t>
            </w:r>
          </w:p>
        </w:tc>
      </w:tr>
      <w:t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复议后起诉</w:t>
            </w:r>
          </w:p>
        </w:tc>
      </w:tr>
      <w:t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总计</w:t>
            </w:r>
          </w:p>
        </w:tc>
      </w:tr>
      <w:t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spacing w:line="560" w:lineRule="exact"/>
              <w:rPr>
                <w:sz w:val="24"/>
                <w:szCs w:val="24"/>
              </w:rPr>
            </w:pPr>
            <w:r>
              <w:rPr>
                <w:sz w:val="24"/>
                <w:szCs w:val="24"/>
              </w:rPr>
              <w:t>0</w:t>
            </w:r>
          </w:p>
        </w:tc>
      </w:tr>
    </w:tbl>
    <w:p>
      <w:pPr>
        <w:widowControl/>
        <w:shd w:val="clear" w:color="auto" w:fill="FFFFFF"/>
        <w:spacing w:line="560" w:lineRule="exact"/>
        <w:jc w:val="center"/>
        <w:rPr>
          <w:sz w:val="24"/>
          <w:szCs w:val="24"/>
        </w:rPr>
      </w:pPr>
    </w:p>
    <w:p>
      <w:pPr>
        <w:pStyle w:val="18"/>
        <w:widowControl/>
        <w:shd w:val="clear" w:color="auto" w:fill="FFFFFF"/>
        <w:spacing w:beforeAutospacing="0" w:after="240" w:afterAutospacing="0" w:line="560" w:lineRule="exact"/>
        <w:ind w:firstLineChars="200" w:firstLine="640"/>
        <w:jc w:val="both"/>
        <w:rPr>
          <w:rFonts w:eastAsia="方正黑体_GBK"/>
          <w:bCs/>
          <w:sz w:val="32"/>
          <w:szCs w:val="32"/>
          <w:shd w:val="clear" w:color="auto" w:fill="FFFFFF"/>
        </w:rPr>
      </w:pPr>
      <w:r>
        <w:rPr>
          <w:rFonts w:eastAsia="方正黑体_GBK"/>
          <w:bCs/>
          <w:sz w:val="32"/>
          <w:szCs w:val="32"/>
          <w:shd w:val="clear" w:color="auto" w:fill="FFFFFF"/>
        </w:rPr>
        <w:t>五、存在的主要问题及改进情况</w:t>
      </w:r>
    </w:p>
    <w:p>
      <w:pPr>
        <w:pStyle w:val="22"/>
        <w:adjustRightInd w:val="0"/>
        <w:snapToGrid w:val="0"/>
        <w:ind w:firstLineChars="200" w:firstLine="624"/>
        <w:rPr>
          <w:rFonts w:ascii="方正楷体_GBK" w:eastAsia="方正楷体_GBK" w:hint="eastAsia"/>
          <w:b/>
          <w:bCs/>
        </w:rPr>
      </w:pPr>
      <w:r>
        <w:rPr>
          <w:rFonts w:ascii="方正楷体_GBK" w:eastAsia="方正楷体_GBK" w:hint="eastAsia"/>
          <w:b/>
          <w:bCs/>
        </w:rPr>
        <w:t>（一</w:t>
      </w:r>
      <w:r>
        <w:rPr>
          <w:rFonts w:eastAsia="方正楷体_GBK"/>
          <w:b/>
          <w:bCs/>
        </w:rPr>
        <w:t>）2019年</w:t>
      </w:r>
      <w:r>
        <w:rPr>
          <w:rFonts w:ascii="方正楷体_GBK" w:eastAsia="方正楷体_GBK" w:hint="eastAsia"/>
          <w:b/>
          <w:bCs/>
        </w:rPr>
        <w:t>年报中所提问题整改情况。</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rPr>
          <w:rFonts w:ascii="方正仿宋_GBK" w:eastAsia="方正仿宋_GBK" w:cs="方正仿宋_GBK" w:hint="eastAsia"/>
          <w:sz w:val="32"/>
          <w:szCs w:val="32"/>
        </w:rPr>
      </w:pPr>
      <w:r>
        <w:rPr>
          <w:rFonts w:ascii="方正楷体_GBK" w:eastAsia="方正楷体_GBK" w:cs="方正楷体_GBK" w:hint="eastAsia"/>
          <w:b/>
          <w:bCs/>
          <w:sz w:val="32"/>
          <w:szCs w:val="32"/>
          <w:lang w:val="en-US" w:eastAsia="zh-CN"/>
        </w:rPr>
        <w:t>1.强化政策解读。</w:t>
      </w:r>
      <w:r>
        <w:rPr>
          <w:rFonts w:ascii="方正仿宋_GBK" w:eastAsia="方正仿宋_GBK" w:cs="方正仿宋_GBK" w:hint="eastAsia"/>
          <w:sz w:val="32"/>
          <w:szCs w:val="32"/>
        </w:rPr>
        <w:t>推进重大决策和执行情况公开。通过“通知公告”栏目及时发布乌鲁木齐海关重大决策及推进情况，并</w:t>
      </w:r>
      <w:r>
        <w:rPr>
          <w:rFonts w:ascii="方正仿宋_GBK" w:eastAsia="方正仿宋_GBK" w:cs="方正仿宋_GBK" w:hint="eastAsia"/>
          <w:sz w:val="32"/>
          <w:szCs w:val="32"/>
          <w:lang w:eastAsia="zh-CN"/>
        </w:rPr>
        <w:t>及时</w:t>
      </w:r>
      <w:r>
        <w:rPr>
          <w:rFonts w:ascii="方正仿宋_GBK" w:eastAsia="方正仿宋_GBK" w:cs="方正仿宋_GBK" w:hint="eastAsia"/>
          <w:sz w:val="32"/>
          <w:szCs w:val="32"/>
        </w:rPr>
        <w:t>对</w:t>
      </w:r>
      <w:r>
        <w:rPr>
          <w:rFonts w:ascii="方正仿宋_GBK" w:eastAsia="方正仿宋_GBK" w:cs="方正仿宋_GBK" w:hint="eastAsia"/>
          <w:sz w:val="32"/>
          <w:szCs w:val="32"/>
          <w:lang w:eastAsia="zh-CN"/>
        </w:rPr>
        <w:t>出台政策</w:t>
      </w:r>
      <w:r>
        <w:rPr>
          <w:rFonts w:ascii="方正仿宋_GBK" w:eastAsia="方正仿宋_GBK" w:cs="方正仿宋_GBK" w:hint="eastAsia"/>
          <w:sz w:val="32"/>
          <w:szCs w:val="32"/>
        </w:rPr>
        <w:t>进行解读，确保公众及时了解相关情况。针对今年新冠肺炎疫情蔓延，在首页设置“疫情防控和‘六稳六保’”专栏，及时发布关区海关疫情防控和促进外贸增长相关举措等17个文件内容。</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rPr>
          <w:rFonts w:ascii="方正仿宋_GBK" w:eastAsia="方正仿宋_GBK" w:cs="方正仿宋_GBK" w:hint="eastAsia"/>
          <w:sz w:val="32"/>
          <w:szCs w:val="32"/>
        </w:rPr>
      </w:pPr>
      <w:r>
        <w:rPr>
          <w:rFonts w:ascii="方正楷体_GBK" w:eastAsia="方正楷体_GBK" w:cs="方正楷体_GBK" w:hint="eastAsia"/>
          <w:b/>
          <w:bCs/>
          <w:sz w:val="32"/>
          <w:szCs w:val="32"/>
          <w:lang w:val="en-US" w:eastAsia="zh-CN"/>
        </w:rPr>
        <w:t>2.</w:t>
      </w:r>
      <w:r>
        <w:rPr>
          <w:rFonts w:ascii="方正楷体_GBK" w:eastAsia="方正楷体_GBK" w:cs="方正楷体_GBK" w:hint="eastAsia"/>
          <w:b/>
          <w:bCs/>
          <w:sz w:val="32"/>
          <w:szCs w:val="32"/>
        </w:rPr>
        <w:t>加强门户网站的互动性和实用性。</w:t>
      </w:r>
      <w:r>
        <w:rPr>
          <w:rFonts w:ascii="方正仿宋_GBK" w:eastAsia="方正仿宋_GBK" w:cs="方正仿宋_GBK" w:hint="eastAsia"/>
          <w:sz w:val="32"/>
          <w:szCs w:val="32"/>
        </w:rPr>
        <w:t>2020年，乌鲁木齐海关门户网站共收到业务咨询47条，涉及7大种类。其中，个人物品21条，商品归类1条，货运管理6条，企业备案6条，减免税2条，加工贸易1条，其他10条。答复率均为100%，且70%以上在1日内答复，其余均在2个工作日内答复。同时，在门户网站“交流互动”栏目下增设“常见问题”，定期梳理12360热线热点问题进行更新，2020年更新热点问题30余条，进一步提高网站的实用性。</w:t>
      </w:r>
    </w:p>
    <w:p>
      <w:pPr>
        <w:keepNext w:val="0"/>
        <w:keepLines w:val="0"/>
        <w:pageBreakBefore w:val="0"/>
        <w:widowControl w:val="0"/>
        <w:kinsoku/>
        <w:wordWrap/>
        <w:overflowPunct/>
        <w:topLinePunct w:val="0"/>
        <w:autoSpaceDE/>
        <w:autoSpaceDN/>
        <w:bidi w:val="0"/>
        <w:adjustRightInd/>
        <w:snapToGrid/>
        <w:ind w:left="0" w:firstLineChars="200" w:firstLine="600"/>
        <w:textAlignment w:val="auto"/>
        <w:rPr>
          <w:rFonts w:ascii="方正仿宋_GBK" w:eastAsia="方正仿宋_GBK" w:cs="方正仿宋_GBK" w:hint="eastAsia"/>
          <w:sz w:val="32"/>
          <w:szCs w:val="32"/>
        </w:rPr>
      </w:pPr>
      <w:r>
        <w:rPr>
          <w:rFonts w:ascii="方正楷体_GBK" w:eastAsia="方正楷体_GBK" w:hint="eastAsia"/>
          <w:b/>
          <w:bCs/>
        </w:rPr>
        <w:t>（二）目前存在问题。</w:t>
      </w:r>
      <w:r>
        <w:rPr>
          <w:rFonts w:ascii="方正仿宋_GBK" w:eastAsia="方正仿宋_GBK" w:cs="方正仿宋_GBK" w:hint="eastAsia"/>
          <w:sz w:val="32"/>
          <w:szCs w:val="32"/>
        </w:rPr>
        <w:t>主要表现在关区单位重视程度有待进一步提升、工作规范化程度不高等。下一步我关将进一步统一思想，不断提高认识水平，充分发挥门户网站政务公开、信息发布、解读回应、办事服务、互动交流等作用，不断提升群众的满意度。同时，加强学习，提高工作规范化、标准化水平。认真学习相关制度规定等，严格按照各项工作要求，不断提升工作的规范化水平。</w:t>
      </w:r>
    </w:p>
    <w:p>
      <w:pPr>
        <w:pStyle w:val="18"/>
        <w:widowControl/>
        <w:shd w:val="clear" w:color="auto" w:fill="FFFFFF"/>
        <w:spacing w:beforeAutospacing="0" w:after="240" w:afterAutospacing="0" w:line="560" w:lineRule="exact"/>
        <w:ind w:firstLineChars="200" w:firstLine="640"/>
        <w:jc w:val="both"/>
        <w:rPr>
          <w:rFonts w:eastAsia="方正黑体_GBK"/>
          <w:bCs/>
          <w:sz w:val="32"/>
          <w:szCs w:val="32"/>
          <w:shd w:val="clear" w:color="auto" w:fill="FFFFFF"/>
        </w:rPr>
      </w:pPr>
      <w:r>
        <w:rPr>
          <w:rFonts w:eastAsia="方正黑体_GBK"/>
          <w:bCs/>
          <w:sz w:val="32"/>
          <w:szCs w:val="32"/>
          <w:shd w:val="clear" w:color="auto" w:fill="FFFFFF"/>
        </w:rPr>
        <w:t>六、其他需要报告的相关情况</w:t>
      </w:r>
    </w:p>
    <w:p>
      <w:pPr>
        <w:spacing w:line="560" w:lineRule="exact"/>
        <w:ind w:firstLineChars="200" w:firstLine="600"/>
        <w:rPr>
          <w:rFonts w:eastAsia="宋体" w:hint="eastAsia"/>
          <w:lang w:eastAsia="zh-CN"/>
        </w:rPr>
      </w:pPr>
      <w:r>
        <w:t>无</w:t>
      </w:r>
      <w:r>
        <w:rPr>
          <w:rFonts w:hint="eastAsia"/>
          <w:lang w:eastAsia="zh-CN"/>
        </w:rPr>
        <w:t>。</w:t>
      </w:r>
    </w:p>
    <w:sectPr>
      <w:footerReference w:type="default" r:id="rId2"/>
      <w:footerReference w:type="even" r:id="rId3"/>
      <w:pgSz w:w="11906" w:h="16838"/>
      <w:pgMar w:top="2098" w:right="1474" w:bottom="1871" w:left="1588" w:header="851" w:footer="992" w:gutter="0"/>
      <w:titlePg/>
      <w:docGrid w:type="lines" w:linePitch="408" w:charSpace="0"/>
    </w:sectPr>
  </w:body>
</w:document>
</file>

<file path=word/fontTable.xml><?xml version="1.0" encoding="utf-8"?>
<w:fonts xmlns:w="http://schemas.openxmlformats.org/wordprocessingml/2006/main" xmlns:r="http://schemas.openxmlformats.org/officeDocument/2006/relationships">
  <w:font w:name="仿宋_GB2312">
    <w:altName w:val="仿宋"/>
    <w:panose1 w:val="00000000000000000000"/>
    <w:charset w:val="86"/>
    <w:family w:val="modern"/>
    <w:pitch w:val="variable"/>
    <w:sig w:usb0="00000000" w:usb1="0000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楷体_GB2312">
    <w:altName w:val="楷体"/>
    <w:panose1 w:val="00000000000000000000"/>
    <w:charset w:val="86"/>
    <w:family w:val="modern"/>
    <w:pitch w:val="variable"/>
    <w:sig w:usb0="00000000" w:usb1="00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rPr>
        <w:rFonts w:ascii="仿宋_GB2312" w:eastAsia="仿宋_GB2312" w:hint="eastAsia"/>
        <w:sz w:val="30"/>
        <w:szCs w:val="30"/>
      </w:rPr>
      <w:t>—</w:t>
    </w:r>
    <w:r>
      <w:rPr>
        <w:rFonts w:ascii="仿宋_GB2312" w:eastAsia="仿宋_GB2312" w:hint="eastAsia"/>
        <w:sz w:val="30"/>
        <w:szCs w:val="30"/>
      </w:rPr>
      <w:fldChar w:fldCharType="begin"/>
    </w:r>
    <w:r>
      <w:rPr>
        <w:rFonts w:ascii="仿宋_GB2312" w:eastAsia="仿宋_GB2312" w:hint="eastAsia"/>
        <w:sz w:val="30"/>
        <w:szCs w:val="30"/>
      </w:rPr>
      <w:instrText xml:space="preserve"> PAGE   \* MERGEFORMAT </w:instrText>
    </w:r>
    <w:r>
      <w:rPr>
        <w:rFonts w:ascii="仿宋_GB2312" w:eastAsia="仿宋_GB2312" w:hint="eastAsia"/>
        <w:sz w:val="30"/>
        <w:szCs w:val="30"/>
      </w:rPr>
      <w:fldChar w:fldCharType="separate"/>
    </w:r>
    <w:r>
      <w:rPr>
        <w:rFonts w:ascii="仿宋_GB2312" w:eastAsia="仿宋_GB2312"/>
        <w:sz w:val="30"/>
        <w:szCs w:val="30"/>
        <w:lang w:val="zh-CN"/>
      </w:rPr>
      <w:t>7</w:t>
    </w:r>
    <w:r>
      <w:rPr>
        <w:rFonts w:ascii="仿宋_GB2312" w:eastAsia="仿宋_GB2312" w:hint="eastAsia"/>
        <w:sz w:val="30"/>
        <w:szCs w:val="30"/>
      </w:rPr>
      <w:fldChar w:fldCharType="end"/>
    </w:r>
    <w:r>
      <w:rPr>
        <w:rFonts w:ascii="仿宋_GB2312" w:eastAsia="仿宋_GB2312" w:hint="eastAsia"/>
        <w:sz w:val="30"/>
        <w:szCs w:val="30"/>
      </w:rPr>
      <w:t>—</w:t>
    </w:r>
  </w:p>
  <w:p>
    <w:pPr>
      <w:pStyle w:val="16"/>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pPr>
    <w:r>
      <w:rPr>
        <w:rFonts w:ascii="仿宋_GB2312" w:eastAsia="仿宋_GB2312" w:hint="eastAsia"/>
        <w:sz w:val="30"/>
        <w:szCs w:val="30"/>
      </w:rPr>
      <w:t>—</w:t>
    </w:r>
    <w:r>
      <w:rPr>
        <w:rFonts w:ascii="仿宋_GB2312" w:eastAsia="仿宋_GB2312" w:hint="eastAsia"/>
        <w:sz w:val="30"/>
        <w:szCs w:val="30"/>
      </w:rPr>
      <w:fldChar w:fldCharType="begin"/>
    </w:r>
    <w:r>
      <w:rPr>
        <w:rFonts w:ascii="仿宋_GB2312" w:eastAsia="仿宋_GB2312" w:hint="eastAsia"/>
        <w:sz w:val="30"/>
        <w:szCs w:val="30"/>
      </w:rPr>
      <w:instrText xml:space="preserve"> PAGE   \* MERGEFORMAT </w:instrText>
    </w:r>
    <w:r>
      <w:rPr>
        <w:rFonts w:ascii="仿宋_GB2312" w:eastAsia="仿宋_GB2312" w:hint="eastAsia"/>
        <w:sz w:val="30"/>
        <w:szCs w:val="30"/>
      </w:rPr>
      <w:fldChar w:fldCharType="separate"/>
    </w:r>
    <w:r>
      <w:rPr>
        <w:rFonts w:ascii="仿宋_GB2312" w:eastAsia="仿宋_GB2312"/>
        <w:sz w:val="30"/>
        <w:szCs w:val="30"/>
        <w:lang w:val="zh-CN"/>
      </w:rPr>
      <w:t>2</w:t>
    </w:r>
    <w:r>
      <w:rPr>
        <w:rFonts w:ascii="仿宋_GB2312" w:eastAsia="仿宋_GB2312" w:hint="eastAsia"/>
        <w:sz w:val="30"/>
        <w:szCs w:val="30"/>
      </w:rPr>
      <w:fldChar w:fldCharType="end"/>
    </w:r>
    <w:r>
      <w:rPr>
        <w:rFonts w:ascii="仿宋_GB2312" w:eastAsia="仿宋_GB2312" w:hint="eastAsia"/>
        <w:sz w:val="30"/>
        <w:szCs w:val="30"/>
      </w:rPr>
      <w:t>—</w:t>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5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30"/>
      <w:szCs w:val="30"/>
      <w:lang w:val="en-US" w:eastAsia="zh-CN" w:bidi="ar-SA"/>
    </w:rPr>
  </w:style>
  <w:style w:type="paragraph" w:styleId="1">
    <w:name w:val="heading 1"/>
    <w:basedOn w:val="0"/>
    <w:next w:val="0"/>
    <w:pPr>
      <w:jc w:val="left"/>
      <w:outlineLvl w:val="0"/>
    </w:pPr>
    <w:rPr>
      <w:rFonts w:ascii="微软雅黑" w:eastAsia="微软雅黑"/>
      <w:kern w:val="44"/>
      <w:sz w:val="10"/>
      <w:szCs w:val="10"/>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pPr>
      <w:spacing w:beforeAutospacing="1" w:afterAutospacing="1"/>
      <w:jc w:val="left"/>
    </w:pPr>
    <w:rPr>
      <w:kern w:val="0"/>
      <w:sz w:val="24"/>
    </w:rPr>
  </w:style>
  <w:style w:type="character" w:styleId="19">
    <w:name w:val="FollowedHyperlink"/>
    <w:basedOn w:val="10"/>
    <w:rPr>
      <w:rFonts w:ascii="微软雅黑" w:eastAsia="微软雅黑" w:cs="微软雅黑"/>
      <w:color w:val="333333"/>
      <w:sz w:val="10"/>
      <w:szCs w:val="10"/>
      <w:u w:val="none"/>
    </w:rPr>
  </w:style>
  <w:style w:type="paragraph" w:customStyle="1" w:styleId="20">
    <w:name w:val="List Paragraph"/>
    <w:basedOn w:val="0"/>
    <w:pPr>
      <w:ind w:firstLineChars="200" w:firstLine="200"/>
    </w:pPr>
  </w:style>
  <w:style w:type="paragraph" w:customStyle="1" w:styleId="21">
    <w:name w:val="样式 3 三号"/>
    <w:pPr>
      <w:widowControl w:val="0"/>
      <w:jc w:val="both"/>
    </w:pPr>
    <w:rPr>
      <w:rFonts w:ascii="Times New Roman" w:eastAsia="方正仿宋_GBK" w:cs="Times New Roman" w:hAnsi="Times New Roman"/>
      <w:kern w:val="2"/>
      <w:sz w:val="32"/>
      <w:szCs w:val="28"/>
      <w:lang w:val="en-US" w:eastAsia="zh-CN" w:bidi="ar-SA"/>
    </w:rPr>
  </w:style>
  <w:style w:type="paragraph" w:customStyle="1" w:styleId="22">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Application>
  <Pages>11</Pages>
  <Words>3317</Words>
  <Characters>3453</Characters>
  <Lines>479</Lines>
  <Paragraphs>328</Paragraphs>
  <CharactersWithSpaces>3645</CharactersWithSpaces>
  <Company>zhengzhou</Company>
</Properties>
</file>

<file path=docProps/core.xml><?xml version="1.0" encoding="utf-8"?>
<cp:coreProperties xmlns:cp="http://schemas.openxmlformats.org/package/2006/metadata/core-properties" xmlns:dc="http://purl.org/dc/elements/1.1/" xmlns:dcterms="http://purl.org/dc/terms/" xmlns:xsi="http://www.w3.org/2001/XMLSchema-instance">
  <dc:creator>梁昉</dc:creator>
  <cp:lastModifiedBy>梁昉</cp:lastModifiedBy>
  <cp:revision>2</cp:revision>
  <dcterms:created xsi:type="dcterms:W3CDTF">2020-02-23T11:45:00Z</dcterms:created>
  <dcterms:modified xsi:type="dcterms:W3CDTF">2021-04-26T03:11:28Z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2052-11.1.0.10314</vt:lpwstr>
  </property>
  <property fmtid="{D5CDD505-2E9C-101B-9397-08002B2CF9AE}" pid="3" name="KSOSaveFontToCloudKey">
    <vt:lpwstr>380604995_embed</vt:lpwstr>
  </property>
</Properties>
</file>