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B5F31">
      <w:pPr>
        <w:pStyle w:val="10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hint="eastAsia" w:ascii="方正小标宋_GBK" w:eastAsia="方正小标宋_GBK" w:cs="方正小标宋_GBK"/>
          <w:sz w:val="44"/>
          <w:szCs w:val="44"/>
        </w:rPr>
        <w:t>乌鲁木齐海关关区2023年政府信息公开</w:t>
      </w:r>
    </w:p>
    <w:p w14:paraId="053DFC7F">
      <w:pPr>
        <w:pStyle w:val="10"/>
        <w:spacing w:line="580" w:lineRule="exact"/>
        <w:jc w:val="center"/>
        <w:rPr>
          <w:rFonts w:ascii="方正仿宋_GBK" w:hAnsi="方正仿宋_GBK" w:cs="方正仿宋_GBK"/>
          <w:szCs w:val="32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工作年度报告</w:t>
      </w:r>
      <w:bookmarkEnd w:id="0"/>
    </w:p>
    <w:p w14:paraId="746DE45D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14:paraId="48AD242A">
      <w:pPr>
        <w:pStyle w:val="11"/>
        <w:adjustRightInd w:val="0"/>
        <w:snapToGrid w:val="0"/>
        <w:spacing w:line="560" w:lineRule="exact"/>
        <w:ind w:firstLine="640" w:firstLineChars="200"/>
        <w:jc w:val="both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本报告根据《中华人民共和国政府信息公开条例》《国务院办公厅政府信息与政务公开办公室关于印发〈中华人民共和国政府信息公开工作年度报告格式〉的通知》以及《海关总署办公厅关于做好2023年政府信息公开和信访年终有关工作的通知》等规定，总结2023年乌鲁木齐海关</w:t>
      </w:r>
      <w:r>
        <w:rPr>
          <w:rFonts w:hint="eastAsia" w:ascii="Times New Roman" w:eastAsia="方正仿宋_GBK"/>
          <w:sz w:val="32"/>
          <w:szCs w:val="32"/>
        </w:rPr>
        <w:t>关区</w:t>
      </w:r>
      <w:r>
        <w:rPr>
          <w:rFonts w:ascii="Times New Roman" w:eastAsia="方正仿宋_GBK"/>
          <w:sz w:val="32"/>
          <w:szCs w:val="32"/>
        </w:rPr>
        <w:t>政府信息公开工作情况编制而成。报告中所列数据的统计期限，自2023年1月1日起至2023年12月31日止。如对报告有疑问或有任何意见、建议，请联系乌鲁木齐海关办公室</w:t>
      </w:r>
      <w:r>
        <w:rPr>
          <w:rFonts w:hint="eastAsia" w:ascii="Times New Roman" w:eastAsia="方正仿宋_GBK"/>
          <w:sz w:val="32"/>
          <w:szCs w:val="32"/>
        </w:rPr>
        <w:t>（党委办公室）</w:t>
      </w:r>
      <w:r>
        <w:rPr>
          <w:rFonts w:ascii="Times New Roman" w:eastAsia="方正仿宋_GBK"/>
          <w:sz w:val="32"/>
          <w:szCs w:val="32"/>
        </w:rPr>
        <w:t>信息宣传科，地址：</w:t>
      </w:r>
      <w:r>
        <w:rPr>
          <w:rFonts w:hint="eastAsia" w:ascii="Times New Roman" w:eastAsia="方正仿宋_GBK"/>
          <w:sz w:val="32"/>
          <w:szCs w:val="32"/>
        </w:rPr>
        <w:t>新疆</w:t>
      </w:r>
      <w:r>
        <w:rPr>
          <w:rFonts w:ascii="Times New Roman" w:eastAsia="方正仿宋_GBK"/>
          <w:sz w:val="32"/>
          <w:szCs w:val="32"/>
        </w:rPr>
        <w:t>乌鲁木齐市新市区北京南路295号，邮编830000；电话：0991-3627921；电子邮箱：wl_zwgk@customs.gov.cn。</w:t>
      </w:r>
    </w:p>
    <w:p w14:paraId="1916FB04">
      <w:pPr>
        <w:pStyle w:val="11"/>
        <w:adjustRightInd w:val="0"/>
        <w:snapToGrid w:val="0"/>
        <w:spacing w:line="560" w:lineRule="exact"/>
        <w:ind w:firstLine="640" w:firstLineChars="200"/>
        <w:jc w:val="both"/>
        <w:rPr>
          <w:rFonts w:ascii="方正黑体_GBK" w:eastAsia="方正黑体_GBK" w:cs="Arial"/>
          <w:sz w:val="32"/>
          <w:szCs w:val="32"/>
        </w:rPr>
      </w:pPr>
      <w:r>
        <w:rPr>
          <w:rFonts w:hint="eastAsia" w:ascii="方正黑体_GBK" w:eastAsia="方正黑体_GBK" w:cs="Arial"/>
          <w:sz w:val="32"/>
          <w:szCs w:val="32"/>
        </w:rPr>
        <w:t>一、总体情况</w:t>
      </w:r>
    </w:p>
    <w:p w14:paraId="721F7A7A">
      <w:pPr>
        <w:pStyle w:val="11"/>
        <w:adjustRightInd w:val="0"/>
        <w:snapToGrid w:val="0"/>
        <w:spacing w:line="560" w:lineRule="exact"/>
        <w:ind w:firstLine="643" w:firstLineChars="200"/>
        <w:jc w:val="both"/>
        <w:rPr>
          <w:rFonts w:ascii="Times New Roman" w:eastAsia="方正仿宋_GBK"/>
          <w:sz w:val="32"/>
          <w:szCs w:val="32"/>
        </w:rPr>
      </w:pPr>
      <w:r>
        <w:rPr>
          <w:rFonts w:hint="eastAsia" w:ascii="方正楷体_GBK" w:eastAsia="方正楷体_GBK"/>
          <w:b/>
          <w:sz w:val="32"/>
          <w:szCs w:val="32"/>
        </w:rPr>
        <w:t>（一）持续做好主动公开工作。</w:t>
      </w:r>
      <w:r>
        <w:rPr>
          <w:rFonts w:hint="eastAsia" w:ascii="Times New Roman" w:eastAsia="方正仿宋_GBK"/>
          <w:sz w:val="32"/>
          <w:szCs w:val="32"/>
        </w:rPr>
        <w:t>常态化推进基础信息公开，整合优化门户网站栏目，规范做好依法应当主动公开的海关政府信息的公开工作。梳理行政规范性文件，集中发布、分类展示有效、失效的行政规范性文件。高效落实重点领域公开，通过召开新闻发布会、设置专题专栏等形式进行相关政策宣传。扎实推进政策解读，立足企业群众视角，因地制宜，将海关出台的惠企利民政策以通俗易懂的方式制作解读宣传稿件，通过门户网站及政务新媒体等多渠道向公众推送。</w:t>
      </w:r>
    </w:p>
    <w:p w14:paraId="405B90FC">
      <w:pPr>
        <w:pStyle w:val="11"/>
        <w:adjustRightInd w:val="0"/>
        <w:snapToGrid w:val="0"/>
        <w:spacing w:line="560" w:lineRule="exact"/>
        <w:ind w:firstLine="643" w:firstLineChars="200"/>
        <w:jc w:val="both"/>
        <w:rPr>
          <w:rFonts w:ascii="Times New Roman" w:eastAsia="方正仿宋_GBK"/>
          <w:sz w:val="32"/>
          <w:szCs w:val="32"/>
        </w:rPr>
      </w:pPr>
      <w:r>
        <w:rPr>
          <w:rFonts w:hint="eastAsia" w:ascii="方正楷体_GBK" w:eastAsia="方正楷体_GBK"/>
          <w:b/>
          <w:sz w:val="32"/>
          <w:szCs w:val="32"/>
        </w:rPr>
        <w:t>（二）规范办理政府信息依申请公开工作。</w:t>
      </w:r>
      <w:r>
        <w:rPr>
          <w:rFonts w:hint="eastAsia" w:ascii="Times New Roman" w:eastAsia="方正仿宋_GBK"/>
          <w:sz w:val="32"/>
          <w:szCs w:val="32"/>
        </w:rPr>
        <w:t>督促隶属海关做好依申请公开渠道的发布和日常管理，健全政府信息公开申请应对处置协作机制。全年接收依申请公开事项3件，均及时规范办理，全年未发生</w:t>
      </w:r>
      <w:r>
        <w:rPr>
          <w:rFonts w:ascii="Times New Roman" w:eastAsia="方正仿宋_GBK"/>
          <w:sz w:val="32"/>
          <w:szCs w:val="32"/>
        </w:rPr>
        <w:t>行政复议和行政诉讼。</w:t>
      </w:r>
    </w:p>
    <w:p w14:paraId="3F50D18A">
      <w:pPr>
        <w:spacing w:line="560" w:lineRule="exact"/>
        <w:ind w:firstLine="643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楷体_GBK" w:eastAsia="方正楷体_GBK" w:cs="Times New Roman"/>
          <w:b/>
          <w:sz w:val="32"/>
          <w:szCs w:val="32"/>
        </w:rPr>
        <w:t>（三）创新优化政务公开平台建设。</w:t>
      </w:r>
      <w:r>
        <w:rPr>
          <w:rFonts w:hint="eastAsia" w:ascii="Times New Roman" w:hAnsi="Times New Roman" w:eastAsia="方正仿宋_GBK"/>
          <w:sz w:val="32"/>
          <w:szCs w:val="32"/>
        </w:rPr>
        <w:t>结合关区工作实际，明确应当主动公开的渠道，并在实际执行中密切跟踪、动态完善，切实推动《乌鲁木齐海关基层政务公开标准目录》落地见效。搭建隶属海关专题页面，优化隶属海关主动公开信息发布“出口”功能。充分运用新媒体传播优势，加大政策解读宣传力度。定期更新维护现场公示栏、政务公开电子屏、查阅点、咨询服务窗口等实体平台，创新使用扫码访问方式，在关区政务公开电子屏上</w:t>
      </w:r>
      <w:bookmarkStart w:id="2" w:name="_GoBack"/>
      <w:bookmarkEnd w:id="2"/>
      <w:r>
        <w:rPr>
          <w:rFonts w:hint="eastAsia" w:ascii="Times New Roman" w:hAnsi="Times New Roman" w:eastAsia="方正仿宋_GBK"/>
          <w:sz w:val="32"/>
          <w:szCs w:val="32"/>
        </w:rPr>
        <w:t>展示总署公告、政策解读、“双公示”</w:t>
      </w:r>
      <w:r>
        <w:rPr>
          <w:rFonts w:ascii="Times New Roman" w:hAnsi="Times New Roman" w:eastAsia="方正仿宋_GBK"/>
          <w:sz w:val="32"/>
          <w:szCs w:val="32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“双随机一公开”等高频访问栏目，方便企业群众查阅信息。</w:t>
      </w:r>
    </w:p>
    <w:p w14:paraId="17A777E2">
      <w:pPr>
        <w:spacing w:line="560" w:lineRule="exact"/>
        <w:ind w:firstLine="643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 w:cs="Times New Roman"/>
          <w:b/>
          <w:sz w:val="32"/>
          <w:szCs w:val="32"/>
        </w:rPr>
        <w:t>（四）推进基层政务公开标准化规范化建设。</w:t>
      </w:r>
      <w:r>
        <w:rPr>
          <w:rFonts w:hint="eastAsia" w:ascii="Times New Roman" w:hAnsi="Times New Roman" w:eastAsia="方正仿宋_GBK"/>
          <w:sz w:val="32"/>
          <w:szCs w:val="32"/>
        </w:rPr>
        <w:t>根据总署统一部署，面向关区印发《乌鲁木齐海关关于推进落实〈海关领域基层政务公开标准指引〉的实施方案》，紧扣工作目标，</w:t>
      </w:r>
      <w:r>
        <w:rPr>
          <w:rFonts w:hint="eastAsia" w:ascii="方正仿宋_GBK" w:eastAsia="方正仿宋_GBK" w:cs="方正仿宋_GBK"/>
          <w:sz w:val="32"/>
          <w:szCs w:val="32"/>
        </w:rPr>
        <w:t>依托实地评审、书面评审及门户网站问卷调查，对关区隶属海关基层政务公开标准化规范化工作进行综合评审，广泛收集意见建议，指</w:t>
      </w:r>
      <w:r>
        <w:rPr>
          <w:rFonts w:ascii="Times New Roman" w:hAnsi="Times New Roman" w:eastAsia="方正仿宋_GBK" w:cs="Times New Roman"/>
          <w:sz w:val="32"/>
          <w:szCs w:val="32"/>
        </w:rPr>
        <w:t>导21</w:t>
      </w:r>
      <w:r>
        <w:rPr>
          <w:rFonts w:hint="eastAsia" w:ascii="方正仿宋_GBK" w:eastAsia="方正仿宋_GBK" w:cs="方正仿宋_GBK"/>
          <w:sz w:val="32"/>
          <w:szCs w:val="32"/>
        </w:rPr>
        <w:t>个隶属海关全部完成达标任务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6BD98DF9">
      <w:pPr>
        <w:pStyle w:val="11"/>
        <w:adjustRightInd w:val="0"/>
        <w:snapToGrid w:val="0"/>
        <w:spacing w:line="560" w:lineRule="exact"/>
        <w:ind w:firstLine="643" w:firstLineChars="200"/>
        <w:jc w:val="both"/>
        <w:rPr>
          <w:rFonts w:ascii="Times New Roman" w:eastAsia="方正仿宋_GBK"/>
          <w:sz w:val="32"/>
          <w:szCs w:val="32"/>
        </w:rPr>
      </w:pPr>
      <w:r>
        <w:rPr>
          <w:rFonts w:hint="eastAsia" w:ascii="方正楷体_GBK" w:eastAsia="方正楷体_GBK"/>
          <w:b/>
          <w:sz w:val="32"/>
          <w:szCs w:val="32"/>
        </w:rPr>
        <w:t>（五）切实提升政务公开服务质效。</w:t>
      </w:r>
      <w:r>
        <w:rPr>
          <w:rFonts w:hint="eastAsia" w:ascii="Times New Roman" w:eastAsia="方正仿宋_GBK"/>
          <w:sz w:val="32"/>
          <w:szCs w:val="32"/>
        </w:rPr>
        <w:t>鼓励和指导关区各隶属海关立足本关实际，以服务品牌为载体，提升整体服务效能，</w:t>
      </w:r>
      <w:r>
        <w:rPr>
          <w:rFonts w:hint="eastAsia" w:ascii="方正仿宋_GBK" w:eastAsia="方正仿宋_GBK" w:cs="方正仿宋_GBK"/>
          <w:sz w:val="32"/>
          <w:szCs w:val="32"/>
        </w:rPr>
        <w:t>培育先进典型和示范案例。推进基层政务公开“创优”活动，</w:t>
      </w:r>
      <w:r>
        <w:rPr>
          <w:rFonts w:ascii="Times New Roman" w:eastAsia="方正仿宋_GBK"/>
          <w:sz w:val="32"/>
          <w:szCs w:val="32"/>
        </w:rPr>
        <w:t>关区7个基层政务公开品牌矩阵初步形成，品牌效应日趋显现</w:t>
      </w:r>
      <w:r>
        <w:rPr>
          <w:rFonts w:hint="eastAsia" w:ascii="Times New Roman" w:eastAsia="方正仿宋_GBK"/>
          <w:sz w:val="32"/>
          <w:szCs w:val="32"/>
        </w:rPr>
        <w:t>。</w:t>
      </w:r>
      <w:r>
        <w:rPr>
          <w:rFonts w:ascii="Times New Roman" w:eastAsia="方正仿宋_GBK"/>
          <w:sz w:val="32"/>
          <w:szCs w:val="32"/>
        </w:rPr>
        <w:t>12360服务热线第一时间响应企业诉求，2023年12360热线接听咨询电话11551条，接通率98.95%。</w:t>
      </w:r>
    </w:p>
    <w:p w14:paraId="2ADFC05E">
      <w:pPr>
        <w:pStyle w:val="13"/>
        <w:adjustRightInd w:val="0"/>
        <w:snapToGrid w:val="0"/>
        <w:ind w:firstLine="624" w:firstLineChars="200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Cs w:val="32"/>
          <w:shd w:val="clear" w:color="auto" w:fill="FFFFFF"/>
        </w:rPr>
        <w:t>二、主动公开政府信息情况</w:t>
      </w:r>
    </w:p>
    <w:tbl>
      <w:tblPr>
        <w:tblStyle w:val="7"/>
        <w:tblW w:w="899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9"/>
        <w:gridCol w:w="2183"/>
        <w:gridCol w:w="1936"/>
        <w:gridCol w:w="2156"/>
      </w:tblGrid>
      <w:tr w14:paraId="14D73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9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6AA5AE90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第二十条第（一）项</w:t>
            </w:r>
          </w:p>
        </w:tc>
      </w:tr>
      <w:tr w14:paraId="737EA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FF5FC5C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A113DAD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1D99DD8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BA827D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现行有效件数</w:t>
            </w:r>
          </w:p>
        </w:tc>
      </w:tr>
      <w:tr w14:paraId="2D0B7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E5BAAA7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00935F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CE7CDB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8EA19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66571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1D3E9D8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355340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D6FDB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BF9098">
            <w:pPr>
              <w:pStyle w:val="14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2</w:t>
            </w:r>
          </w:p>
        </w:tc>
      </w:tr>
      <w:tr w14:paraId="3FECD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2C58E01D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第二十条第（五）项</w:t>
            </w:r>
          </w:p>
        </w:tc>
      </w:tr>
      <w:tr w14:paraId="223B4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EEC7B07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CDACDB7">
            <w:pPr>
              <w:pStyle w:val="1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 w14:paraId="324E7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BF49706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5C24623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2808</w:t>
            </w:r>
          </w:p>
        </w:tc>
      </w:tr>
      <w:tr w14:paraId="2D118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0D9D2ECB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第二十条第（六）项</w:t>
            </w:r>
          </w:p>
        </w:tc>
      </w:tr>
      <w:tr w14:paraId="2A074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681FAEE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2E9005F">
            <w:pPr>
              <w:pStyle w:val="17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 w14:paraId="5F002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19AE6CE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F605244">
            <w:pPr>
              <w:pStyle w:val="1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2305</w:t>
            </w:r>
          </w:p>
        </w:tc>
      </w:tr>
      <w:tr w14:paraId="30C27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5E93588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16FED1E">
            <w:pPr>
              <w:pStyle w:val="1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213</w:t>
            </w:r>
          </w:p>
        </w:tc>
      </w:tr>
      <w:tr w14:paraId="25E1C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 w14:paraId="054511B9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第二十条第（八）项</w:t>
            </w:r>
          </w:p>
        </w:tc>
      </w:tr>
      <w:tr w14:paraId="27C2D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EE82B15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C2CC64B">
            <w:pPr>
              <w:pStyle w:val="1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本年收费金额（单位：万元）</w:t>
            </w:r>
          </w:p>
        </w:tc>
      </w:tr>
      <w:tr w14:paraId="518DD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B1BB1F7">
            <w:pPr>
              <w:pStyle w:val="14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5C97D6F">
            <w:pPr>
              <w:pStyle w:val="1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0</w:t>
            </w:r>
          </w:p>
        </w:tc>
      </w:tr>
    </w:tbl>
    <w:p w14:paraId="49B94AAB">
      <w:pPr>
        <w:pStyle w:val="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14:paraId="16381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93F8033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A9862B9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01290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7B4F42C"/>
        </w:tc>
        <w:tc>
          <w:tcPr>
            <w:tcW w:w="6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E6A1DFC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586149C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6A36089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总计</w:t>
            </w:r>
          </w:p>
        </w:tc>
      </w:tr>
      <w:tr w14:paraId="5560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2BB4B8A"/>
        </w:tc>
        <w:tc>
          <w:tcPr>
            <w:tcW w:w="63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9B14966"/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C53B721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20D8D1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CCA37C4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83AB0B9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23230B0">
            <w:pPr>
              <w:pStyle w:val="14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1723A92"/>
        </w:tc>
      </w:tr>
      <w:tr w14:paraId="7F6FF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5DCAE8D3">
            <w:pPr>
              <w:pStyle w:val="14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F277F8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669212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EC8E71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4A7E30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0122CA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76C51D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8CEE3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3</w:t>
            </w:r>
          </w:p>
        </w:tc>
      </w:tr>
      <w:tr w14:paraId="43F96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4EC84C30">
            <w:pPr>
              <w:pStyle w:val="14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AF0724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F21EAE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B32B04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B3FD7C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832B9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BFBBAE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08A759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55455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FA668EE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EF0A88F">
            <w:pPr>
              <w:pStyle w:val="14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C4DB2C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565AF0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0224A1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33E049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304052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2F7A1C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45C00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2</w:t>
            </w:r>
          </w:p>
        </w:tc>
      </w:tr>
      <w:tr w14:paraId="0484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E9974DE"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662A7F6">
            <w:pPr>
              <w:pStyle w:val="14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FF1AF8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BCEAD3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26D9E3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8BAD1A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B4FFE9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811EAB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5EF81E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EE04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D099BF4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1D412FB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75E85B3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6DC5E7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272B18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A2D642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C5E835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8F177E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D7D4EA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48E405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A52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A4B85F3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25B30D4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A8EF359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F843E5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9FFC6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B34553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5C6758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B38244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958A5C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D06E3B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1</w:t>
            </w:r>
          </w:p>
        </w:tc>
      </w:tr>
      <w:tr w14:paraId="313E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84BB077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5C91234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EDD0E1D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8EBE1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F848C0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11874E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990317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D4D47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DFC5AB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BA7609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A18C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AB70DD0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E542899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95D92C6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509DC83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FDA37F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5C6F65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499542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003CAA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AF4863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7D3096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445F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AE7E6F5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76A7FE0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E37BABB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7BF1D1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1F1767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F9A5D9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23FAC6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FDD60F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A4E6AB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9B9A67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14A9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E66C660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57F7BD6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9B4C478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658611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FEB701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09F32E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FC802B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9150E1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002F31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3CD88E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31FA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6ED9F08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3BA3065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8CAC2EA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13C024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6C06E9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CE69893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8E31AE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E32385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EE3702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B8CCE6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19B4C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D62AC1E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CD50509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B725EF1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4FECD7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66C81F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37F2A9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09B4A2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0950FB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772C81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2470F4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90F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C1A7533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007D293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EB40164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B7EFDE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9B9BDE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08BED3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8E65E6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0C9348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2EDCCF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833AB9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B647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5FF32C2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15A3A92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555C9F6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257E84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E37406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781197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6C011D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8DE8ED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37F77E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35C681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5FE8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E351A05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4F61E5C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335B32A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F2D128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F6F4CB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58C3AE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F090DD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E52BC3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17F367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359168A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3DD7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0EEE888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8E1BB62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5158CB6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AED525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7A7E28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5BE862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1BE4473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FF3078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7E1C08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D4240F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33A2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844EE9F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4E18A91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C6A4AA3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F6CFB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B7B47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68CE37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BD324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5E4F36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1D61BE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B585FA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3C12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CEB7D98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97C44EC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2EC354C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3CFA62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05034F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79F48D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CAD639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B45345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EA46F1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98BC31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5ADC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B51D23B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3C224D5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93338D0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1B8933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DA7CF5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D0246B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73522A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722ECF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8749F5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5B6E65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073D1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E2F778F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776CCA5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C84B72A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024A9A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4A1A92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CCA453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6CC1C9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B94114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A251C1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9E5AE3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4B2A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304B8DC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1D5E33D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</w:tcPr>
          <w:p w14:paraId="3D6ABF4F">
            <w:pPr>
              <w:pStyle w:val="1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10A94B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88B093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3F935B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1B4B5E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7081FD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6E7AED0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A4A2D6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261A3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53454F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28D835"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14:paraId="5FEC66D7">
            <w:pPr>
              <w:pStyle w:val="1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89E87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37A82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6CE0DE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49442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A1E83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33B8F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A57442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3C9D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F448EB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BA79BE"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14:paraId="0C938BF5">
            <w:pPr>
              <w:pStyle w:val="1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E08D5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079E6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43333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7B39FC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35D97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38DB18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6C7F7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6DC8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726E61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BDF1F1"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14:paraId="30895545">
            <w:pPr>
              <w:pStyle w:val="1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632DE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666D6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518AF3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F88FF9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AA297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198A3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655D03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 w14:paraId="22C54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F097AC7"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6FA070C">
            <w:pPr>
              <w:pStyle w:val="14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95655F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13BBFFB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6DB47BF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474ECD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4092BD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B36F8F6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9E9FD1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3</w:t>
            </w:r>
          </w:p>
        </w:tc>
      </w:tr>
      <w:tr w14:paraId="41090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D7311B6">
            <w:pPr>
              <w:pStyle w:val="14"/>
              <w:widowControl/>
              <w:jc w:val="left"/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38B79C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1681504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2365F35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16658E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8FAAEAD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66D52C1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F26DB87">
            <w:pPr>
              <w:pStyle w:val="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</w:tbl>
    <w:p w14:paraId="3F9F4E82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宋体" w:cs="宋体"/>
          <w:szCs w:val="24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2996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6CF85B9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38AA6DA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行政诉讼</w:t>
            </w:r>
          </w:p>
        </w:tc>
      </w:tr>
      <w:tr w14:paraId="71945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0800F30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F260CD6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EB3B8B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088CC13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B2895CC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B9CB5ED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F70E5E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复议后起诉</w:t>
            </w:r>
          </w:p>
        </w:tc>
      </w:tr>
      <w:tr w14:paraId="72C60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C0DC854"/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1392205"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B25C1E2"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2F1C460"/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E0A6B80"/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4DA2198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5576A91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A6863B1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0DCBE5A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155FA85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1DC6FF8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767E5D8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AA0797E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3B1EC25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86505D2">
            <w:pPr>
              <w:pStyle w:val="1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总计</w:t>
            </w:r>
          </w:p>
        </w:tc>
      </w:tr>
      <w:tr w14:paraId="6A59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A5C3886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4DE5E53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DCFAB85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57D5E83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463A3FA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7712BEA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E1290DE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177350A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00E3582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E5A16A6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689D120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995F133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23D250C">
            <w:pPr>
              <w:pStyle w:val="14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EDDDE4D">
            <w:pPr>
              <w:pStyle w:val="14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46CF206">
            <w:pPr>
              <w:pStyle w:val="14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14:paraId="2EFC19DA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五、存在的主要问题及改进情况</w:t>
      </w:r>
    </w:p>
    <w:p w14:paraId="5C02C05E">
      <w:pPr>
        <w:pStyle w:val="20"/>
        <w:ind w:firstLine="643"/>
        <w:rPr>
          <w:b w:val="0"/>
        </w:rPr>
      </w:pPr>
      <w:r>
        <w:rPr>
          <w:rFonts w:hint="eastAsia" w:ascii="方正楷体_GBK" w:eastAsia="方正楷体_GBK"/>
          <w:bCs w:val="0"/>
          <w:spacing w:val="0"/>
        </w:rPr>
        <w:t>（</w:t>
      </w:r>
      <w:r>
        <w:rPr>
          <w:rFonts w:ascii="方正楷体_GBK" w:eastAsia="方正楷体_GBK"/>
          <w:bCs w:val="0"/>
          <w:spacing w:val="0"/>
        </w:rPr>
        <w:t>一）</w:t>
      </w:r>
      <w:r>
        <w:rPr>
          <w:rFonts w:hint="eastAsia" w:ascii="方正楷体_GBK" w:eastAsia="方正楷体_GBK"/>
          <w:bCs w:val="0"/>
          <w:spacing w:val="0"/>
        </w:rPr>
        <w:t>上年问题整改情况。</w:t>
      </w:r>
      <w:r>
        <w:rPr>
          <w:rFonts w:hint="eastAsia"/>
          <w:b w:val="0"/>
        </w:rPr>
        <w:t>针对政策宣贯工作仍需进一步加强的问题，我关加大政策宣贯力度，及时通过乌鲁木齐海关门户网站及官方微信平台对外发布政策解读、更新关区咨询服务渠道等方式，推动企业公众了解、咨询渠道畅通，保障关企沟通“不掉线”。针对政务公开平台建设仍需进一步推进的问题，我关持续优化平台建设，丰富“乌鲁木齐海关发布”微信平台在线咨询功能，全年答复问</w:t>
      </w:r>
      <w:r>
        <w:rPr>
          <w:rFonts w:ascii="Times New Roman"/>
          <w:b w:val="0"/>
        </w:rPr>
        <w:t>题68</w:t>
      </w:r>
      <w:r>
        <w:rPr>
          <w:rFonts w:hint="eastAsia"/>
          <w:b w:val="0"/>
        </w:rPr>
        <w:t>条，力求发布信息更广、提供服务更优。</w:t>
      </w:r>
    </w:p>
    <w:p w14:paraId="4CEF31BF">
      <w:pPr>
        <w:pStyle w:val="20"/>
        <w:ind w:firstLine="643"/>
        <w:rPr>
          <w:b w:val="0"/>
        </w:rPr>
      </w:pPr>
      <w:r>
        <w:rPr>
          <w:rFonts w:hint="eastAsia" w:ascii="方正楷体_GBK" w:eastAsia="方正楷体_GBK"/>
          <w:bCs w:val="0"/>
          <w:spacing w:val="0"/>
        </w:rPr>
        <w:t>（二）待改进问题。</w:t>
      </w:r>
      <w:r>
        <w:rPr>
          <w:rFonts w:hint="eastAsia"/>
          <w:b w:val="0"/>
        </w:rPr>
        <w:t>隶属海关基层政务公开标准化规范化工作发展不平衡，工作水平存在较大差距；关区隶属海关数量较多，深入推进基层政务公开标准化规范化工作需要持续发力、久久为功。</w:t>
      </w:r>
    </w:p>
    <w:p w14:paraId="0388850B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14:paraId="68008110">
      <w:pPr>
        <w:pStyle w:val="6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方正仿宋_GBK" w:hAnsi="方正仿宋_GBK"/>
          <w:sz w:val="32"/>
          <w:szCs w:val="32"/>
        </w:rPr>
      </w:pPr>
      <w:r>
        <w:rPr>
          <w:rFonts w:hint="eastAsia" w:ascii="方正仿宋_GBK" w:eastAsia="方正仿宋_GBK"/>
          <w:bCs/>
          <w:sz w:val="32"/>
          <w:szCs w:val="32"/>
        </w:rPr>
        <w:t>乌鲁木齐海关</w:t>
      </w:r>
      <w:r>
        <w:rPr>
          <w:rFonts w:eastAsia="方正仿宋_GBK"/>
          <w:bCs/>
          <w:sz w:val="32"/>
          <w:szCs w:val="32"/>
        </w:rPr>
        <w:t>2023</w:t>
      </w:r>
      <w:r>
        <w:rPr>
          <w:rFonts w:hint="eastAsia" w:ascii="方正仿宋_GBK" w:eastAsia="方正仿宋_GBK"/>
          <w:bCs/>
          <w:sz w:val="32"/>
          <w:szCs w:val="32"/>
        </w:rPr>
        <w:t>年无收取信息处理费情况。</w:t>
      </w:r>
    </w:p>
    <w:sectPr>
      <w:footerReference r:id="rId3" w:type="default"/>
      <w:pgSz w:w="11907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53A06">
    <w:pPr>
      <w:pStyle w:val="3"/>
      <w:jc w:val="center"/>
      <w:rPr>
        <w:sz w:val="28"/>
        <w:szCs w:val="28"/>
      </w:rPr>
    </w:pPr>
    <w:r>
      <w:fldChar w:fldCharType="begin"/>
    </w:r>
    <w:r>
      <w:instrText xml:space="preserve">Page</w:instrText>
    </w:r>
    <w:r>
      <w:fldChar w:fldCharType="separate"/>
    </w:r>
    <w:r>
      <w:t>6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E113FF"/>
    <w:rsid w:val="0060175D"/>
    <w:rsid w:val="007469C5"/>
    <w:rsid w:val="009E172D"/>
    <w:rsid w:val="00E113FF"/>
    <w:rsid w:val="187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autoRedefine/>
    <w:qFormat/>
    <w:uiPriority w:val="0"/>
    <w:pPr>
      <w:ind w:left="21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autoRedefine/>
    <w:qFormat/>
    <w:uiPriority w:val="0"/>
    <w:pPr>
      <w:ind w:left="420"/>
    </w:pPr>
  </w:style>
  <w:style w:type="paragraph" w:styleId="6">
    <w:name w:val="Normal (Web)"/>
    <w:next w:val="3"/>
    <w:autoRedefine/>
    <w:qFormat/>
    <w:uiPriority w:val="0"/>
    <w:pPr>
      <w:widowControl w:val="0"/>
      <w:spacing w:beforeAutospacing="1" w:afterAutospacing="1"/>
    </w:pPr>
    <w:rPr>
      <w:rFonts w:ascii="Times New Roman" w:hAnsi="Times New Roman" w:eastAsia="宋体" w:cs="Times New Roman"/>
      <w:sz w:val="24"/>
      <w:szCs w:val="30"/>
      <w:lang w:val="en-US" w:eastAsia="zh-CN" w:bidi="ar-SA"/>
    </w:rPr>
  </w:style>
  <w:style w:type="character" w:styleId="9">
    <w:name w:val="page number"/>
    <w:basedOn w:val="8"/>
    <w:autoRedefine/>
    <w:qFormat/>
    <w:uiPriority w:val="0"/>
  </w:style>
  <w:style w:type="paragraph" w:customStyle="1" w:styleId="10">
    <w:name w:val="样式 6 三号"/>
    <w:autoRedefine/>
    <w:qFormat/>
    <w:uiPriority w:val="0"/>
    <w:pPr>
      <w:widowControl w:val="0"/>
      <w:spacing w:line="560" w:lineRule="exact"/>
    </w:pPr>
    <w:rPr>
      <w:rFonts w:ascii="方正黑体_GBK" w:hAnsi="Times New Roman" w:eastAsia="方正黑体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11">
    <w:name w:val="样式 1 小四"/>
    <w:next w:val="12"/>
    <w:autoRedefine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lang w:val="en-US" w:eastAsia="zh-CN" w:bidi="ar-SA"/>
    </w:rPr>
  </w:style>
  <w:style w:type="paragraph" w:customStyle="1" w:styleId="12">
    <w:name w:val="正文5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13">
    <w:name w:val="样式 50 三号"/>
    <w:next w:val="2"/>
    <w:autoRedefine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14">
    <w:name w:val="样式 小三"/>
    <w:next w:val="5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">
    <w:name w:val="样式 5 小三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">
    <w:name w:val="样式 16 小三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">
    <w:name w:val="样式 8 小三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">
    <w:name w:val="样式 17 小三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">
    <w:name w:val="样式 12 小三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">
    <w:name w:val="样式 8 三号"/>
    <w:autoRedefine/>
    <w:qFormat/>
    <w:uiPriority w:val="0"/>
    <w:pPr>
      <w:widowControl w:val="0"/>
      <w:adjustRightInd w:val="0"/>
      <w:snapToGrid w:val="0"/>
      <w:spacing w:line="560" w:lineRule="exact"/>
      <w:ind w:firstLine="200" w:firstLineChars="200"/>
      <w:jc w:val="both"/>
    </w:pPr>
    <w:rPr>
      <w:rFonts w:ascii="方正仿宋_GBK" w:hAnsi="Times New Roman" w:eastAsia="方正仿宋_GBK" w:cs="Times New Roman"/>
      <w:b/>
      <w:bCs/>
      <w:spacing w:val="-4"/>
      <w:kern w:val="2"/>
      <w:sz w:val="32"/>
      <w:szCs w:val="32"/>
      <w:lang w:val="en-US" w:eastAsia="zh-CN" w:bidi="ar-SA"/>
    </w:rPr>
  </w:style>
  <w:style w:type="character" w:customStyle="1" w:styleId="21">
    <w:name w:val="im-content1"/>
    <w:basedOn w:val="8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2351</Words>
  <Characters>2460</Characters>
  <Lines>20</Lines>
  <Paragraphs>5</Paragraphs>
  <TotalTime>222</TotalTime>
  <ScaleCrop>false</ScaleCrop>
  <LinksUpToDate>false</LinksUpToDate>
  <CharactersWithSpaces>2460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2024-01-18T07:45:00Z</dcterms:created>
  <dc:creator>mrlmy</dc:creator>
  <cp:lastModifiedBy>诗玉</cp:lastModifiedBy>
  <dcterms:modified xsi:type="dcterms:W3CDTF">2025-03-18T07:53:24Z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972907789C964B918EFC03108E4C5BB4_11</vt:lpwstr>
  </property>
  <property fmtid="{D5CDD505-2E9C-101B-9397-08002B2CF9AE}" pid="4" name="KSOTemplateDocerSaveRecord">
    <vt:lpwstr>eyJoZGlkIjoiYTdkNGJlNTZiMzlmZDhhNzI2M2EwY2NjYTM2MjEwZTkiLCJ1c2VySWQiOiIzNDM2NzE2NjAifQ==</vt:lpwstr>
  </property>
</Properties>
</file>