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_GBK"/>
          <w:sz w:val="44"/>
          <w:szCs w:val="44"/>
        </w:rPr>
      </w:pPr>
      <w:bookmarkStart w:id="0" w:name="_Hlk25540369"/>
      <w:r>
        <w:rPr>
          <w:rFonts w:eastAsia="方正小标宋_GBK"/>
          <w:sz w:val="44"/>
          <w:szCs w:val="44"/>
        </w:rPr>
        <w:t>乌鲁木齐海关</w:t>
      </w:r>
      <w:r>
        <w:rPr>
          <w:rFonts w:hint="eastAsia" w:eastAsia="方正小标宋_GBK"/>
          <w:sz w:val="44"/>
          <w:szCs w:val="44"/>
        </w:rPr>
        <w:t>关区</w:t>
      </w:r>
      <w:r>
        <w:rPr>
          <w:rFonts w:eastAsia="方正小标宋_GBK"/>
          <w:sz w:val="44"/>
          <w:szCs w:val="44"/>
        </w:rPr>
        <w:t>20</w:t>
      </w:r>
      <w:r>
        <w:rPr>
          <w:rFonts w:hint="eastAsia" w:eastAsia="方正小标宋_GBK"/>
          <w:sz w:val="44"/>
          <w:szCs w:val="44"/>
          <w:lang w:val="en-US" w:eastAsia="zh-CN"/>
        </w:rPr>
        <w:t>20</w:t>
      </w:r>
      <w:r>
        <w:rPr>
          <w:rFonts w:eastAsia="方正小标宋_GBK"/>
          <w:sz w:val="44"/>
          <w:szCs w:val="44"/>
        </w:rPr>
        <w:t>年政府信息公开</w:t>
      </w:r>
    </w:p>
    <w:p>
      <w:pPr>
        <w:spacing w:line="560" w:lineRule="exact"/>
        <w:jc w:val="center"/>
        <w:rPr>
          <w:rFonts w:hint="eastAsia" w:eastAsia="方正小标宋_GBK"/>
          <w:sz w:val="44"/>
          <w:szCs w:val="44"/>
          <w:lang w:eastAsia="zh-CN"/>
        </w:rPr>
      </w:pPr>
      <w:r>
        <w:rPr>
          <w:rFonts w:eastAsia="方正小标宋_GBK"/>
          <w:sz w:val="44"/>
          <w:szCs w:val="44"/>
        </w:rPr>
        <w:t>工作年度报告</w:t>
      </w:r>
      <w:bookmarkEnd w:id="0"/>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本报告根据《中华人民共和国政府信息公开条例》《国务院办公厅政府信息与政务公开办公室关于政府信息公开工作年度报告有关事项的通知》</w:t>
      </w:r>
      <w:r>
        <w:rPr>
          <w:rFonts w:hint="eastAsia" w:ascii="方正仿宋_GBK" w:eastAsia="方正仿宋_GBK" w:cs="方正仿宋_GBK"/>
          <w:sz w:val="32"/>
          <w:szCs w:val="32"/>
          <w:lang w:eastAsia="zh-CN"/>
        </w:rPr>
        <w:t>等规定</w:t>
      </w:r>
      <w:r>
        <w:rPr>
          <w:rFonts w:hint="eastAsia" w:ascii="方正仿宋_GBK" w:eastAsia="方正仿宋_GBK" w:cs="方正仿宋_GBK"/>
          <w:sz w:val="32"/>
          <w:szCs w:val="32"/>
        </w:rPr>
        <w:t>，梳理2020年度乌鲁木齐海关政府信息公开工作情况编制而成。报告中所列数据的统计期限，自2020年1月1日起至2020年12月31日止。如对报告有疑问或有任何意见、建议，请联系乌鲁木齐海关办公室信息宣传科，地址：乌鲁木齐市新市区北京南路295号，邮编830000；电话：（0991）3627921；电子邮箱：wl_zwgk@customs.gov.cn。</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eastAsia="方正黑体_GBK" w:cs="方正黑体_GBK"/>
          <w:sz w:val="32"/>
          <w:szCs w:val="32"/>
        </w:rPr>
      </w:pPr>
      <w:r>
        <w:rPr>
          <w:rFonts w:hint="eastAsia" w:ascii="方正黑体_GBK" w:eastAsia="方正黑体_GBK" w:cs="方正黑体_GBK"/>
          <w:sz w:val="32"/>
          <w:szCs w:val="32"/>
        </w:rPr>
        <w:t>一、总体情况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2020年，乌鲁木齐海关严格贯彻落实《政府信息公开条例》，在总署办公厅正确领导下，从强化整改落实、夯实工作基础、建立工作队伍、规范工作流程等入手，扎实推进关区政务公开工作，确保关区政务公开工作质效稳步提升。</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（一）夯实基础，加强制度建设。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1.结合《政府信息公开条例》，制订并下发《乌鲁木齐海关政务公开实施细则》及《乌鲁木齐海关政府信息公开工作规程》和《乌鲁木齐海关信息公开保密审查规程》，规定政务公开工作流程，明确依申请公开内部工作流程。同时，要求各隶属海关制订各自工作制度。目前，关区全部隶属海关（除未对外开展业务的筹备处）均已制订工作制度，并报总关办公室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2.制定《乌鲁木齐海关门户网站栏目内容责任分工表》，进一步明确各栏目维护的工作流程、责任部门、内容要求和维护频次及时限要求，确保各项主动公开内容及时对外公布。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3.加大检查督导，压实工作责任。结合总署考核指标和任务分工，不定期检查政务公开工作，利用周二视频点名会议，通报检查情况，提出下一步工作要求。同时，将政务公开工作列入考核指标，进一步压实责任，努力提升关区政务公开管理整体工作水平。</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w:t>
      </w:r>
      <w:r>
        <w:rPr>
          <w:rFonts w:hint="eastAsia" w:ascii="方正楷体_GBK" w:eastAsia="方正楷体_GBK" w:cs="方正楷体_GBK"/>
          <w:b/>
          <w:bCs/>
          <w:sz w:val="32"/>
          <w:szCs w:val="32"/>
          <w:lang w:eastAsia="zh-CN"/>
        </w:rPr>
        <w:t>二</w:t>
      </w:r>
      <w:r>
        <w:rPr>
          <w:rFonts w:hint="eastAsia" w:ascii="方正楷体_GBK" w:eastAsia="方正楷体_GBK" w:cs="方正楷体_GBK"/>
          <w:b/>
          <w:bCs/>
          <w:sz w:val="32"/>
          <w:szCs w:val="32"/>
        </w:rPr>
        <w:t>）明确要求，提高依申请公开的规范性。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1.在《乌鲁木齐海关政务公开实施细则》中专门设立章节，明确依申请公开工作流程。同时，要求各隶属海关认真学习《海关总署政府信息公开申请答复书》，不断提高依申请公开工作的规范性。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确保依申请公开渠道畅通。完成全部20个隶属海关（除和田海关筹备处）依申请公开渠道的对外公示。同时，年内分别对全部隶属海关依申请公开电话和互联网邮箱渠道进行2次检查，对电话无人接听、互联网邮箱未及时回复的单位在关区范围进行通报。</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w:t>
      </w:r>
      <w:r>
        <w:rPr>
          <w:rFonts w:hint="eastAsia" w:ascii="方正楷体_GBK" w:eastAsia="方正楷体_GBK" w:cs="方正楷体_GBK"/>
          <w:b/>
          <w:bCs/>
          <w:sz w:val="32"/>
          <w:szCs w:val="32"/>
          <w:lang w:eastAsia="zh-CN"/>
        </w:rPr>
        <w:t>三</w:t>
      </w:r>
      <w:r>
        <w:rPr>
          <w:rFonts w:hint="eastAsia" w:ascii="方正楷体_GBK" w:eastAsia="方正楷体_GBK" w:cs="方正楷体_GBK"/>
          <w:b/>
          <w:bCs/>
          <w:sz w:val="32"/>
          <w:szCs w:val="32"/>
        </w:rPr>
        <w:t>）规范政府信息公开年度报告发布。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我关高度重视政府信息公开年度报告发布工作，严把内容、数据质量关。一是强化与各职能部门的联系沟通，明确本机关各项数据编报的具体责任部门，相关数据必须经责任部门负责同志审阅，确保各项数据来源客观、权威、可靠。二是加大对隶属海关信息公开年报编制的指导监督，明确填报要求，并对各隶属海关信息公开年报进行逐一审核，通过审核后方可对外公示。</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w:t>
      </w:r>
      <w:r>
        <w:rPr>
          <w:rFonts w:hint="eastAsia" w:ascii="方正楷体_GBK" w:eastAsia="方正楷体_GBK" w:cs="方正楷体_GBK"/>
          <w:b/>
          <w:bCs/>
          <w:sz w:val="32"/>
          <w:szCs w:val="32"/>
          <w:lang w:eastAsia="zh-CN"/>
        </w:rPr>
        <w:t>四</w:t>
      </w:r>
      <w:r>
        <w:rPr>
          <w:rFonts w:hint="eastAsia" w:ascii="方正楷体_GBK" w:eastAsia="方正楷体_GBK" w:cs="方正楷体_GBK"/>
          <w:b/>
          <w:bCs/>
          <w:sz w:val="32"/>
          <w:szCs w:val="32"/>
        </w:rPr>
        <w:t>）推进基层政务公开工作稳步开展。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1.健全工作制度。目前，乌鲁木齐海关关区21个隶属海关中20个隶属海关（除和田海关筹备处）均已建立政务公开工作制度，并报备总关办公室。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2.建立工作队伍。关区各单位、各隶属海关均已确定1名政务公开工作人员，成立关区政务公开工作微信群，发布工作要求，研究讨论相关工作事项。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3.利用每周二关区视频点名会议，对各单位政务公开工作进行点评，不断提升政务公开工作质效。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w:t>
      </w:r>
      <w:r>
        <w:rPr>
          <w:rFonts w:hint="eastAsia" w:ascii="方正楷体_GBK" w:eastAsia="方正楷体_GBK" w:cs="方正楷体_GBK"/>
          <w:b/>
          <w:bCs/>
          <w:sz w:val="32"/>
          <w:szCs w:val="32"/>
          <w:lang w:eastAsia="zh-CN"/>
        </w:rPr>
        <w:t>五</w:t>
      </w:r>
      <w:r>
        <w:rPr>
          <w:rFonts w:hint="eastAsia" w:ascii="方正楷体_GBK" w:eastAsia="方正楷体_GBK" w:cs="方正楷体_GBK"/>
          <w:b/>
          <w:bCs/>
          <w:sz w:val="32"/>
          <w:szCs w:val="32"/>
        </w:rPr>
        <w:t>）强化业务培训。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1.做好二次培训。参加总署政务公开培训班后，认真学习培训内容，并组织关区政务公开工作人员进行二次培训，确保总署培训内容在关区落地。并配发教材，为关区41个单位配发《政府信息公开条例》和《中华人民共和国政府信息条例（2019）百问百答》，要求利用各单位“晨会一刻”组织开展学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2.利用每周二视频点名会议，通报关区收到的依申请公开事项，结合实际案例进行分析，提升政务公开工作人员的业务能力。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3.在关区政务公开工作微信群，不定期发布工作通报和最新工作要求。</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楷体_GBK" w:eastAsia="方正楷体_GBK" w:cs="方正楷体_GBK"/>
          <w:b/>
          <w:bCs/>
          <w:sz w:val="32"/>
          <w:szCs w:val="32"/>
        </w:rPr>
      </w:pPr>
      <w:r>
        <w:rPr>
          <w:rFonts w:hint="eastAsia" w:ascii="方正楷体_GBK" w:eastAsia="方正楷体_GBK" w:cs="方正楷体_GBK"/>
          <w:b/>
          <w:bCs/>
          <w:sz w:val="32"/>
          <w:szCs w:val="32"/>
        </w:rPr>
        <w:t>（</w:t>
      </w:r>
      <w:r>
        <w:rPr>
          <w:rFonts w:hint="eastAsia" w:ascii="方正楷体_GBK" w:eastAsia="方正楷体_GBK" w:cs="方正楷体_GBK"/>
          <w:b/>
          <w:bCs/>
          <w:sz w:val="32"/>
          <w:szCs w:val="32"/>
          <w:lang w:eastAsia="zh-CN"/>
        </w:rPr>
        <w:t>六</w:t>
      </w:r>
      <w:r>
        <w:rPr>
          <w:rFonts w:hint="eastAsia" w:ascii="方正楷体_GBK" w:eastAsia="方正楷体_GBK" w:cs="方正楷体_GBK"/>
          <w:b/>
          <w:bCs/>
          <w:sz w:val="32"/>
          <w:szCs w:val="32"/>
        </w:rPr>
        <w:t>）不断提升便民服务质量。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1.定期更新“政策文件”，及时对外公示本关规范性文件及各类便企措施；提高政策解读更新频率，提升解读质量，方便行政管理相对人办理业务。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2.不断压缩网站业务咨询留言的回复时间，回复留言时间严格控制在两个工作日内，提高业务咨询的时效性。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3.立足本关实际，积极发挥政务新媒体“乌鲁木齐海关发布”的政策传播与解读作用，2020年共转发总署“12360”热线新媒体政策解读40篇，制作本关政策解读35篇。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4.提升12360热线服务质量。2020年，我关12360热线共接听热线话务数量11503个，平均接通率98.70%，达到总署接通率96%以上的要求；转办12360热线工单95个，全部反馈办结。</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eastAsia="方正仿宋_GBK" w:cs="方正仿宋_GBK"/>
          <w:sz w:val="32"/>
          <w:szCs w:val="32"/>
        </w:rPr>
      </w:pPr>
    </w:p>
    <w:p>
      <w:pPr>
        <w:pStyle w:val="6"/>
        <w:widowControl/>
        <w:shd w:val="clear" w:color="auto" w:fill="FFFFFF"/>
        <w:adjustRightInd w:val="0"/>
        <w:snapToGrid w:val="0"/>
        <w:spacing w:beforeAutospacing="0" w:afterAutospacing="0" w:line="560" w:lineRule="exact"/>
        <w:jc w:val="both"/>
        <w:rPr>
          <w:rFonts w:eastAsia="方正黑体_GBK"/>
          <w:bCs/>
          <w:sz w:val="32"/>
          <w:szCs w:val="32"/>
          <w:shd w:val="clear" w:color="auto" w:fill="FFFFFF"/>
        </w:rPr>
      </w:pPr>
      <w:r>
        <w:rPr>
          <w:rFonts w:eastAsia="方正黑体_GBK"/>
          <w:bCs/>
          <w:sz w:val="32"/>
          <w:szCs w:val="32"/>
          <w:shd w:val="clear" w:color="auto" w:fill="FFFFFF"/>
        </w:rPr>
        <w:t>二、主动公开政府信息情况</w:t>
      </w:r>
    </w:p>
    <w:tbl>
      <w:tblPr>
        <w:tblStyle w:val="7"/>
        <w:tblW w:w="102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113"/>
        <w:gridCol w:w="2183"/>
        <w:gridCol w:w="1551"/>
        <w:gridCol w:w="34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10293"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line="560" w:lineRule="exact"/>
              <w:jc w:val="center"/>
              <w:rPr>
                <w:sz w:val="24"/>
                <w:szCs w:val="24"/>
              </w:rPr>
            </w:pPr>
            <w:r>
              <w:rPr>
                <w:kern w:val="0"/>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本年新</w:t>
            </w:r>
            <w:r>
              <w:rPr>
                <w:kern w:val="0"/>
                <w:sz w:val="24"/>
                <w:szCs w:val="24"/>
              </w:rPr>
              <w:br w:type="textWrapping"/>
            </w:r>
            <w:r>
              <w:rPr>
                <w:kern w:val="0"/>
                <w:sz w:val="24"/>
                <w:szCs w:val="24"/>
              </w:rPr>
              <w:t>制作数量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本年新</w:t>
            </w:r>
            <w:r>
              <w:rPr>
                <w:kern w:val="0"/>
                <w:sz w:val="24"/>
                <w:szCs w:val="24"/>
              </w:rPr>
              <w:br w:type="textWrapping"/>
            </w:r>
            <w:r>
              <w:rPr>
                <w:kern w:val="0"/>
                <w:sz w:val="24"/>
                <w:szCs w:val="24"/>
              </w:rPr>
              <w:t>公开数量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规章</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rFonts w:hint="eastAsia"/>
                <w:kern w:val="0"/>
                <w:sz w:val="24"/>
                <w:szCs w:val="24"/>
                <w:lang w:val="en-US" w:eastAsia="zh-CN"/>
              </w:rPr>
              <w:t>0</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kern w:val="0"/>
                <w:sz w:val="24"/>
                <w:szCs w:val="24"/>
              </w:rPr>
              <w:t> </w:t>
            </w:r>
            <w:r>
              <w:rPr>
                <w:rFonts w:hint="eastAsia"/>
                <w:kern w:val="0"/>
                <w:sz w:val="24"/>
                <w:szCs w:val="24"/>
                <w:lang w:val="en-US" w:eastAsia="zh-CN"/>
              </w:rPr>
              <w:t>0</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rFonts w:hint="eastAsia"/>
                <w:kern w:val="0"/>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规范性文件</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0</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kern w:val="0"/>
                <w:sz w:val="24"/>
                <w:szCs w:val="24"/>
              </w:rPr>
              <w:t> </w:t>
            </w:r>
            <w:r>
              <w:rPr>
                <w:rFonts w:hint="eastAsia"/>
                <w:kern w:val="0"/>
                <w:sz w:val="24"/>
                <w:szCs w:val="24"/>
                <w:lang w:val="en-US" w:eastAsia="zh-CN"/>
              </w:rPr>
              <w:t>0</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6"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eastAsia="zh-CN"/>
              </w:rPr>
              <w:t>本</w:t>
            </w:r>
            <w:r>
              <w:rPr>
                <w:kern w:val="0"/>
                <w:sz w:val="24"/>
                <w:szCs w:val="24"/>
              </w:rPr>
              <w:t>年项目数量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行政许可</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10</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kern w:val="0"/>
                <w:sz w:val="24"/>
                <w:szCs w:val="24"/>
                <w:lang w:eastAsia="zh-CN"/>
              </w:rPr>
              <w:t>-</w:t>
            </w:r>
            <w:r>
              <w:rPr>
                <w:rFonts w:hint="eastAsia"/>
                <w:kern w:val="0"/>
                <w:sz w:val="24"/>
                <w:szCs w:val="24"/>
                <w:lang w:val="en-US" w:eastAsia="zh-CN"/>
              </w:rPr>
              <w:t>224</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eastAsia="zh-CN"/>
              </w:rPr>
              <w:t>本</w:t>
            </w:r>
            <w:r>
              <w:rPr>
                <w:kern w:val="0"/>
                <w:sz w:val="24"/>
                <w:szCs w:val="24"/>
              </w:rPr>
              <w:t>年项目数量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行政处罚</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5</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lang w:val="en-US"/>
              </w:rPr>
            </w:pPr>
            <w:r>
              <w:rPr>
                <w:kern w:val="0"/>
                <w:sz w:val="24"/>
                <w:szCs w:val="24"/>
                <w:lang w:eastAsia="zh-CN"/>
              </w:rPr>
              <w:t>-</w:t>
            </w:r>
            <w:r>
              <w:rPr>
                <w:rFonts w:hint="eastAsia"/>
                <w:kern w:val="0"/>
                <w:sz w:val="24"/>
                <w:szCs w:val="24"/>
                <w:lang w:val="en-US" w:eastAsia="zh-CN"/>
              </w:rPr>
              <w:t>157</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241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行政强制</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1</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kern w:val="0"/>
                <w:sz w:val="24"/>
                <w:szCs w:val="24"/>
                <w:lang w:val="en-US" w:eastAsia="zh-CN"/>
              </w:rPr>
              <w:t>-</w:t>
            </w:r>
            <w:r>
              <w:rPr>
                <w:rFonts w:hint="eastAsia"/>
                <w:kern w:val="0"/>
                <w:sz w:val="24"/>
                <w:szCs w:val="24"/>
                <w:lang w:val="en-US" w:eastAsia="zh-CN"/>
              </w:rPr>
              <w:t>17</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rFonts w:hint="eastAsia"/>
                <w:kern w:val="0"/>
                <w:sz w:val="24"/>
                <w:szCs w:val="24"/>
                <w:lang w:eastAsia="zh-CN"/>
              </w:rPr>
              <w:t>本</w:t>
            </w:r>
            <w:r>
              <w:rPr>
                <w:kern w:val="0"/>
                <w:sz w:val="24"/>
                <w:szCs w:val="24"/>
              </w:rPr>
              <w:t>年项目数量</w:t>
            </w:r>
          </w:p>
        </w:tc>
        <w:tc>
          <w:tcPr>
            <w:tcW w:w="4997"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7"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行政事业性收费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rFonts w:hint="eastAsia"/>
                <w:kern w:val="0"/>
                <w:sz w:val="24"/>
                <w:szCs w:val="24"/>
                <w:lang w:val="en-US" w:eastAsia="zh-CN"/>
              </w:rPr>
              <w:t>0</w:t>
            </w:r>
          </w:p>
        </w:tc>
        <w:tc>
          <w:tcPr>
            <w:tcW w:w="4997"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rFonts w:hint="eastAsia"/>
                <w:kern w:val="0"/>
                <w:sz w:val="24"/>
                <w:szCs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信息内容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采购项目数量</w:t>
            </w:r>
          </w:p>
        </w:tc>
        <w:tc>
          <w:tcPr>
            <w:tcW w:w="4997"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560" w:lineRule="exact"/>
              <w:jc w:val="center"/>
              <w:rPr>
                <w:rFonts w:hint="eastAsia" w:eastAsia="宋体"/>
                <w:sz w:val="24"/>
                <w:szCs w:val="24"/>
                <w:lang w:eastAsia="zh-CN"/>
              </w:rPr>
            </w:pPr>
            <w:r>
              <w:rPr>
                <w:kern w:val="0"/>
                <w:sz w:val="24"/>
                <w:szCs w:val="24"/>
              </w:rPr>
              <w:t>采购总金额</w:t>
            </w:r>
            <w:r>
              <w:rPr>
                <w:rFonts w:hint="eastAsia"/>
                <w:kern w:val="0"/>
                <w:sz w:val="24"/>
                <w:szCs w:val="24"/>
                <w:lang w:eastAsia="zh-CN"/>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sz w:val="24"/>
                <w:szCs w:val="24"/>
              </w:rPr>
            </w:pPr>
            <w:r>
              <w:rPr>
                <w:kern w:val="0"/>
                <w:sz w:val="24"/>
                <w:szCs w:val="24"/>
              </w:rPr>
              <w:t>政府集中采购</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560" w:lineRule="exact"/>
              <w:jc w:val="center"/>
              <w:rPr>
                <w:rFonts w:eastAsia="宋体"/>
                <w:sz w:val="24"/>
                <w:szCs w:val="24"/>
                <w:lang w:val="en-US" w:eastAsia="zh-CN"/>
              </w:rPr>
            </w:pPr>
            <w:r>
              <w:rPr>
                <w:rFonts w:hint="eastAsia"/>
                <w:kern w:val="0"/>
                <w:sz w:val="24"/>
                <w:szCs w:val="24"/>
                <w:lang w:val="en-US" w:eastAsia="zh-CN"/>
              </w:rPr>
              <w:t>22</w:t>
            </w:r>
          </w:p>
        </w:tc>
        <w:tc>
          <w:tcPr>
            <w:tcW w:w="4997"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adjustRightInd w:val="0"/>
              <w:snapToGrid w:val="0"/>
              <w:spacing w:line="560" w:lineRule="exact"/>
              <w:jc w:val="center"/>
              <w:rPr>
                <w:rFonts w:eastAsia="宋体"/>
                <w:sz w:val="24"/>
                <w:szCs w:val="24"/>
                <w:lang w:val="en-US" w:eastAsia="zh-CN"/>
              </w:rPr>
            </w:pPr>
            <w:r>
              <w:rPr>
                <w:rFonts w:hint="eastAsia"/>
                <w:sz w:val="24"/>
                <w:szCs w:val="24"/>
                <w:lang w:val="en-US" w:eastAsia="zh-CN"/>
              </w:rPr>
              <w:t>6788.361</w:t>
            </w:r>
          </w:p>
        </w:tc>
      </w:tr>
    </w:tbl>
    <w:p>
      <w:pPr>
        <w:pStyle w:val="6"/>
        <w:widowControl/>
        <w:shd w:val="clear" w:color="auto" w:fill="FFFFFF"/>
        <w:spacing w:beforeAutospacing="0" w:afterAutospacing="0" w:line="560" w:lineRule="exact"/>
        <w:ind w:firstLine="420"/>
        <w:jc w:val="both"/>
        <w:rPr>
          <w:szCs w:val="24"/>
        </w:rPr>
      </w:pPr>
    </w:p>
    <w:p>
      <w:pPr>
        <w:pStyle w:val="6"/>
        <w:widowControl/>
        <w:shd w:val="clear" w:color="auto" w:fill="FFFFFF"/>
        <w:spacing w:beforeAutospacing="0" w:after="240" w:afterAutospacing="0" w:line="560" w:lineRule="exact"/>
        <w:ind w:firstLine="640" w:firstLineChars="200"/>
        <w:jc w:val="both"/>
        <w:rPr>
          <w:rFonts w:eastAsia="方正黑体_GBK"/>
          <w:bCs/>
          <w:sz w:val="32"/>
          <w:szCs w:val="32"/>
          <w:shd w:val="clear" w:color="auto" w:fill="FFFFFF"/>
        </w:rPr>
      </w:pPr>
      <w:r>
        <w:rPr>
          <w:rFonts w:eastAsia="方正黑体_GBK"/>
          <w:bCs/>
          <w:sz w:val="32"/>
          <w:szCs w:val="32"/>
          <w:shd w:val="clear" w:color="auto" w:fill="FFFFFF"/>
        </w:rPr>
        <w:t>三、收到和处理政府信息公开申请情况</w:t>
      </w:r>
    </w:p>
    <w:tbl>
      <w:tblPr>
        <w:tblStyle w:val="7"/>
        <w:tblW w:w="907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96"/>
        <w:gridCol w:w="936"/>
        <w:gridCol w:w="867"/>
        <w:gridCol w:w="1803"/>
        <w:gridCol w:w="635"/>
        <w:gridCol w:w="675"/>
        <w:gridCol w:w="750"/>
        <w:gridCol w:w="765"/>
        <w:gridCol w:w="765"/>
        <w:gridCol w:w="497"/>
        <w:gridCol w:w="68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（本列数据的勾稽关系为：第一项加第二项之和，等于第三项加第四项之和）</w:t>
            </w:r>
          </w:p>
        </w:tc>
        <w:tc>
          <w:tcPr>
            <w:tcW w:w="4769"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申请人情况</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63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0"/>
                <w:szCs w:val="20"/>
              </w:rPr>
              <w:t>自然人</w:t>
            </w:r>
          </w:p>
        </w:tc>
        <w:tc>
          <w:tcPr>
            <w:tcW w:w="3452"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法人或其他组织</w:t>
            </w:r>
          </w:p>
        </w:tc>
        <w:tc>
          <w:tcPr>
            <w:tcW w:w="68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63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0"/>
                <w:szCs w:val="20"/>
              </w:rPr>
              <w:t>商业企业</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科研机构</w:t>
            </w:r>
          </w:p>
        </w:tc>
        <w:tc>
          <w:tcPr>
            <w:tcW w:w="76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社会公益组织</w:t>
            </w:r>
          </w:p>
        </w:tc>
        <w:tc>
          <w:tcPr>
            <w:tcW w:w="76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法律服务机构</w:t>
            </w:r>
          </w:p>
        </w:tc>
        <w:tc>
          <w:tcPr>
            <w:tcW w:w="49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其他</w:t>
            </w:r>
          </w:p>
        </w:tc>
        <w:tc>
          <w:tcPr>
            <w:tcW w:w="68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tcPr>
          <w:p>
            <w:pPr>
              <w:widowControl/>
              <w:spacing w:after="180" w:line="560" w:lineRule="exact"/>
              <w:jc w:val="center"/>
              <w:rPr>
                <w:sz w:val="24"/>
                <w:szCs w:val="24"/>
              </w:rPr>
            </w:pPr>
            <w:r>
              <w:rPr>
                <w:kern w:val="0"/>
                <w:sz w:val="24"/>
                <w:szCs w:val="24"/>
              </w:rPr>
              <w:t>一、本年新收政府信息公开申请数量</w:t>
            </w:r>
          </w:p>
        </w:tc>
        <w:tc>
          <w:tcPr>
            <w:tcW w:w="63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rPr>
                <w:rFonts w:eastAsia="宋体"/>
                <w:lang w:val="en-US" w:eastAsia="zh-CN"/>
              </w:rPr>
            </w:pPr>
            <w:r>
              <w:rPr>
                <w:rFonts w:hint="eastAsia"/>
                <w:sz w:val="24"/>
                <w:szCs w:val="24"/>
                <w:lang w:val="en-US" w:eastAsia="zh-CN"/>
              </w:rPr>
              <w:t>6</w:t>
            </w:r>
          </w:p>
        </w:tc>
        <w:tc>
          <w:tcPr>
            <w:tcW w:w="67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tcPr>
          <w:p>
            <w:pPr>
              <w:widowControl/>
              <w:tabs>
                <w:tab w:val="left" w:pos="286"/>
              </w:tabs>
              <w:spacing w:after="180" w:line="560" w:lineRule="exact"/>
              <w:jc w:val="center"/>
              <w:rPr>
                <w:rFonts w:hint="eastAsia" w:eastAsia="宋体"/>
                <w:lang w:val="en-US" w:eastAsia="zh-CN"/>
              </w:rPr>
            </w:pPr>
            <w:r>
              <w:rPr>
                <w:kern w:val="0"/>
                <w:sz w:val="20"/>
                <w:szCs w:val="20"/>
              </w:rPr>
              <w:t> </w:t>
            </w:r>
            <w:r>
              <w:rPr>
                <w:rFonts w:hint="eastAsia"/>
                <w:kern w:val="0"/>
                <w:sz w:val="20"/>
                <w:szCs w:val="20"/>
                <w:lang w:val="en-US" w:eastAsia="zh-CN"/>
              </w:rPr>
              <w:t>0</w:t>
            </w:r>
          </w:p>
        </w:tc>
        <w:tc>
          <w:tcPr>
            <w:tcW w:w="497"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rPr>
                <w:rFonts w:hint="eastAsia" w:eastAsia="宋体"/>
                <w:lang w:val="en-US" w:eastAsia="zh-CN"/>
              </w:rPr>
            </w:pPr>
            <w:r>
              <w:rPr>
                <w:kern w:val="0"/>
                <w:sz w:val="20"/>
                <w:szCs w:val="20"/>
              </w:rPr>
              <w:t> </w:t>
            </w:r>
            <w:r>
              <w:rPr>
                <w:rFonts w:hint="eastAsia"/>
                <w:kern w:val="0"/>
                <w:sz w:val="20"/>
                <w:szCs w:val="20"/>
                <w:lang w:val="en-US" w:eastAsia="zh-CN"/>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rPr>
                <w:rFonts w:eastAsia="宋体"/>
                <w:lang w:val="en-US" w:eastAsia="zh-CN"/>
              </w:rPr>
            </w:pPr>
            <w:r>
              <w:rPr>
                <w:rFonts w:hint="eastAsia"/>
                <w:sz w:val="24"/>
                <w:szCs w:val="24"/>
                <w:lang w:val="en-US" w:eastAsia="zh-CN"/>
              </w:rPr>
              <w:t>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tcPr>
          <w:p>
            <w:pPr>
              <w:widowControl/>
              <w:spacing w:after="180" w:line="560" w:lineRule="exact"/>
              <w:jc w:val="center"/>
              <w:rPr>
                <w:sz w:val="24"/>
                <w:szCs w:val="24"/>
              </w:rPr>
            </w:pPr>
            <w:r>
              <w:rPr>
                <w:kern w:val="0"/>
                <w:sz w:val="24"/>
                <w:szCs w:val="24"/>
              </w:rPr>
              <w:t>二、上年结转政府信息公开申请数量</w:t>
            </w:r>
          </w:p>
        </w:tc>
        <w:tc>
          <w:tcPr>
            <w:tcW w:w="63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497"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line="560" w:lineRule="exact"/>
              <w:jc w:val="center"/>
            </w:pPr>
            <w:r>
              <w:rPr>
                <w:kern w:val="0"/>
                <w:sz w:val="20"/>
                <w:szCs w:val="20"/>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三、本年度办理结果</w:t>
            </w:r>
          </w:p>
        </w:tc>
        <w:tc>
          <w:tcPr>
            <w:tcW w:w="360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（一）予以公开</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kern w:val="0"/>
                <w:sz w:val="24"/>
                <w:szCs w:val="24"/>
                <w:lang w:val="en-US" w:eastAsia="zh-CN"/>
              </w:rPr>
              <w:t>4</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sz w:val="24"/>
                <w:szCs w:val="24"/>
                <w:lang w:val="en-US" w:eastAsia="zh-CN"/>
              </w:rPr>
              <w:t>0</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val="en-US" w:eastAsia="zh-CN"/>
              </w:rPr>
            </w:pPr>
            <w:r>
              <w:rPr>
                <w:kern w:val="0"/>
                <w:sz w:val="24"/>
                <w:szCs w:val="24"/>
              </w:rPr>
              <w:t> </w:t>
            </w:r>
            <w:r>
              <w:rPr>
                <w:rFonts w:hint="eastAsia"/>
                <w:kern w:val="0"/>
                <w:sz w:val="24"/>
                <w:szCs w:val="24"/>
                <w:lang w:val="en-US" w:eastAsia="zh-CN"/>
              </w:rPr>
              <w:t>4</w:t>
            </w:r>
            <w:bookmarkStart w:id="1" w:name="_GoBack"/>
            <w:bookmarkEnd w:id="1"/>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360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kern w:val="0"/>
                <w:sz w:val="24"/>
                <w:szCs w:val="24"/>
                <w:lang w:val="en-US" w:eastAsia="zh-CN"/>
              </w:rPr>
              <w:t>1</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kern w:val="0"/>
                <w:sz w:val="24"/>
                <w:szCs w:val="24"/>
                <w:lang w:val="en-US" w:eastAsia="zh-CN"/>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（三）不予公开</w:t>
            </w: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1.属于国家秘密</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2.其他法律行政法规禁止公开</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3.危及“三安全一稳定”</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4.保护第三方合法权益</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5.属于三类内部事务信息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6.属于四类过程性信息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7.属于行政执法案卷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8.属于行政查询事项</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（四）无法提供</w:t>
            </w: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1.本机关不掌握相关政府信息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2.没有现成信息需要另行制作</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3.补正后申请内容仍不明确</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（五）不予处理</w:t>
            </w: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1.信访举报投诉类申请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kern w:val="0"/>
                <w:sz w:val="24"/>
                <w:szCs w:val="24"/>
              </w:rPr>
              <w:t> </w:t>
            </w:r>
            <w:r>
              <w:rPr>
                <w:rFonts w:hint="eastAsia"/>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kern w:val="0"/>
                <w:sz w:val="24"/>
                <w:szCs w:val="24"/>
                <w:lang w:val="en-US" w:eastAsia="zh-CN"/>
              </w:rPr>
              <w:t>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2.重复申请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3.要求提供公开出版物</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4.无正当理由大量反复申请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267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5.要求行政机关确认或重新出具已获取信息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46"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1803" w:type="dxa"/>
            <w:gridSpan w:val="2"/>
            <w:vMerge w:val="restart"/>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（六）其他处理</w:t>
            </w:r>
          </w:p>
        </w:tc>
        <w:tc>
          <w:tcPr>
            <w:tcW w:w="180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楷体" w:cs="Times New Roman"/>
                <w:kern w:val="0"/>
                <w:sz w:val="24"/>
                <w:szCs w:val="24"/>
                <w:lang w:val="en-US" w:eastAsia="zh-CN" w:bidi="ar-SA"/>
              </w:rPr>
            </w:pPr>
            <w:r>
              <w:rPr>
                <w:rFonts w:hint="eastAsia" w:eastAsia="楷体"/>
                <w:kern w:val="0"/>
                <w:sz w:val="21"/>
                <w:szCs w:val="21"/>
              </w:rPr>
              <w:t>1.申请人撤销申请</w:t>
            </w:r>
          </w:p>
        </w:tc>
        <w:tc>
          <w:tcPr>
            <w:tcW w:w="635"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rFonts w:hint="eastAsia"/>
                <w:kern w:val="0"/>
                <w:sz w:val="24"/>
                <w:szCs w:val="24"/>
                <w:lang w:val="en-US" w:eastAsia="zh-CN"/>
              </w:rPr>
              <w:t>1</w:t>
            </w:r>
            <w:r>
              <w:rPr>
                <w:kern w:val="0"/>
                <w:sz w:val="24"/>
                <w:szCs w:val="24"/>
              </w:rPr>
              <w:t> </w:t>
            </w:r>
          </w:p>
        </w:tc>
        <w:tc>
          <w:tcPr>
            <w:tcW w:w="675"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497"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ascii="Times New Roman" w:hAnsi="Times New Roman" w:eastAsia="宋体" w:cs="Times New Roman"/>
                <w:kern w:val="2"/>
                <w:sz w:val="24"/>
                <w:szCs w:val="24"/>
                <w:lang w:val="en-US" w:eastAsia="zh-CN" w:bidi="ar-SA"/>
              </w:rPr>
            </w:pPr>
            <w:r>
              <w:rPr>
                <w:rFonts w:hint="eastAsia"/>
                <w:kern w:val="0"/>
                <w:sz w:val="24"/>
                <w:szCs w:val="24"/>
                <w:lang w:val="en-US" w:eastAsia="zh-CN"/>
              </w:rPr>
              <w:t>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46" w:hRule="atLeast"/>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1803" w:type="dxa"/>
            <w:gridSpan w:val="2"/>
            <w:vMerge w:val="continue"/>
            <w:tcBorders>
              <w:left w:val="nil"/>
              <w:right w:val="single" w:color="auto" w:sz="8" w:space="0"/>
            </w:tcBorders>
            <w:shd w:val="clear" w:color="auto" w:fill="auto"/>
            <w:tcMar>
              <w:left w:w="108" w:type="dxa"/>
              <w:right w:w="108" w:type="dxa"/>
            </w:tcMar>
            <w:vAlign w:val="center"/>
          </w:tcPr>
          <w:p/>
        </w:tc>
        <w:tc>
          <w:tcPr>
            <w:tcW w:w="180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楷体" w:cs="Times New Roman"/>
                <w:kern w:val="0"/>
                <w:sz w:val="24"/>
                <w:szCs w:val="24"/>
                <w:lang w:val="en-US" w:eastAsia="zh-CN" w:bidi="ar-SA"/>
              </w:rPr>
            </w:pPr>
            <w:r>
              <w:rPr>
                <w:rFonts w:hint="eastAsia" w:eastAsia="楷体"/>
                <w:kern w:val="0"/>
                <w:sz w:val="24"/>
                <w:szCs w:val="24"/>
              </w:rPr>
              <w:t>2.咨询事项，指引咨询渠道</w:t>
            </w:r>
          </w:p>
        </w:tc>
        <w:tc>
          <w:tcPr>
            <w:tcW w:w="635"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675"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750"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765"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765"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497"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682" w:type="dxa"/>
            <w:tcBorders>
              <w:left w:val="nil"/>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46" w:hRule="atLeast"/>
          <w:jc w:val="center"/>
        </w:trPr>
        <w:tc>
          <w:tcPr>
            <w:tcW w:w="696"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1803" w:type="dxa"/>
            <w:gridSpan w:val="2"/>
            <w:vMerge w:val="continue"/>
            <w:tcBorders>
              <w:left w:val="nil"/>
              <w:bottom w:val="single" w:color="auto" w:sz="8" w:space="0"/>
              <w:right w:val="single" w:color="auto" w:sz="8" w:space="0"/>
            </w:tcBorders>
            <w:shd w:val="clear" w:color="auto" w:fill="auto"/>
            <w:tcMar>
              <w:left w:w="108" w:type="dxa"/>
              <w:right w:w="108" w:type="dxa"/>
            </w:tcMar>
            <w:vAlign w:val="center"/>
          </w:tcPr>
          <w:p/>
        </w:tc>
        <w:tc>
          <w:tcPr>
            <w:tcW w:w="180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楷体" w:cs="Times New Roman"/>
                <w:kern w:val="0"/>
                <w:sz w:val="24"/>
                <w:szCs w:val="24"/>
                <w:lang w:val="en-US" w:eastAsia="zh-CN" w:bidi="ar-SA"/>
              </w:rPr>
            </w:pPr>
            <w:r>
              <w:rPr>
                <w:rFonts w:hint="eastAsia" w:eastAsia="楷体"/>
                <w:kern w:val="0"/>
                <w:sz w:val="24"/>
                <w:szCs w:val="24"/>
              </w:rPr>
              <w:t>3.逾期未补正</w:t>
            </w:r>
          </w:p>
        </w:tc>
        <w:tc>
          <w:tcPr>
            <w:tcW w:w="635"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675"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750"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765"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0 </w:t>
            </w:r>
          </w:p>
        </w:tc>
        <w:tc>
          <w:tcPr>
            <w:tcW w:w="765"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497"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c>
          <w:tcPr>
            <w:tcW w:w="682" w:type="dxa"/>
            <w:tcBorders>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kern w:val="0"/>
                <w:sz w:val="24"/>
                <w:szCs w:val="24"/>
              </w:rPr>
              <w:t> 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360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rFonts w:eastAsia="楷体"/>
                <w:kern w:val="0"/>
                <w:sz w:val="24"/>
                <w:szCs w:val="24"/>
              </w:rPr>
              <w:t>（七）总计</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6</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hint="eastAsia" w:eastAsia="宋体"/>
                <w:sz w:val="24"/>
                <w:szCs w:val="24"/>
                <w:lang w:eastAsia="zh-CN"/>
              </w:rPr>
            </w:pPr>
            <w:r>
              <w:rPr>
                <w:rFonts w:hint="eastAsia"/>
                <w:sz w:val="24"/>
                <w:szCs w:val="24"/>
                <w:lang w:val="en-US" w:eastAsia="zh-CN"/>
              </w:rPr>
              <w:t>0</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rFonts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302"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4"/>
                <w:szCs w:val="24"/>
              </w:rPr>
              <w:t>四、结转下年度继续办理</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0 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0 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 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0 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t>0</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pPr>
            <w:r>
              <w:rPr>
                <w:kern w:val="0"/>
                <w:sz w:val="20"/>
                <w:szCs w:val="20"/>
              </w:rPr>
              <w:t> 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jc w:val="center"/>
              <w:rPr>
                <w:sz w:val="24"/>
                <w:szCs w:val="24"/>
              </w:rPr>
            </w:pPr>
            <w:r>
              <w:rPr>
                <w:sz w:val="24"/>
                <w:szCs w:val="24"/>
              </w:rPr>
              <w:t>0</w:t>
            </w:r>
          </w:p>
        </w:tc>
      </w:tr>
    </w:tbl>
    <w:p>
      <w:pPr>
        <w:pStyle w:val="6"/>
        <w:widowControl/>
        <w:shd w:val="clear" w:color="auto" w:fill="FFFFFF"/>
        <w:spacing w:beforeAutospacing="0" w:afterAutospacing="0" w:line="560" w:lineRule="exact"/>
        <w:jc w:val="both"/>
        <w:rPr>
          <w:rFonts w:eastAsia="楷体_GB2312"/>
          <w:bCs/>
          <w:sz w:val="32"/>
          <w:szCs w:val="32"/>
          <w:shd w:val="clear" w:color="auto" w:fill="FFFFFF"/>
        </w:rPr>
      </w:pPr>
    </w:p>
    <w:p>
      <w:pPr>
        <w:pStyle w:val="6"/>
        <w:widowControl/>
        <w:shd w:val="clear" w:color="auto" w:fill="FFFFFF"/>
        <w:spacing w:beforeAutospacing="0" w:after="240" w:afterAutospacing="0" w:line="560" w:lineRule="exact"/>
        <w:ind w:firstLine="640" w:firstLineChars="200"/>
        <w:jc w:val="both"/>
        <w:rPr>
          <w:szCs w:val="24"/>
        </w:rPr>
      </w:pPr>
      <w:r>
        <w:rPr>
          <w:rFonts w:eastAsia="方正黑体_GBK"/>
          <w:bCs/>
          <w:sz w:val="32"/>
          <w:szCs w:val="32"/>
          <w:shd w:val="clear" w:color="auto" w:fill="FFFFFF"/>
        </w:rPr>
        <w:t>四、政府信息公开行政复议、行政诉讼情况</w:t>
      </w:r>
    </w:p>
    <w:tbl>
      <w:tblPr>
        <w:tblStyle w:val="7"/>
        <w:tblW w:w="9071"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0 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line="560" w:lineRule="exact"/>
              <w:jc w:val="center"/>
              <w:rPr>
                <w:sz w:val="24"/>
                <w:szCs w:val="24"/>
              </w:rPr>
            </w:pPr>
            <w:r>
              <w:rPr>
                <w:kern w:val="0"/>
                <w:sz w:val="24"/>
                <w:szCs w:val="24"/>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spacing w:line="560" w:lineRule="exact"/>
              <w:jc w:val="center"/>
              <w:rPr>
                <w:sz w:val="24"/>
                <w:szCs w:val="24"/>
              </w:rPr>
            </w:pPr>
            <w:r>
              <w:rPr>
                <w:sz w:val="24"/>
                <w:szCs w:val="24"/>
              </w:rPr>
              <w:t>0</w:t>
            </w:r>
          </w:p>
        </w:tc>
      </w:tr>
    </w:tbl>
    <w:p>
      <w:pPr>
        <w:widowControl/>
        <w:shd w:val="clear" w:color="auto" w:fill="FFFFFF"/>
        <w:spacing w:line="560" w:lineRule="exact"/>
        <w:jc w:val="center"/>
        <w:rPr>
          <w:sz w:val="24"/>
          <w:szCs w:val="24"/>
        </w:rPr>
      </w:pPr>
    </w:p>
    <w:p>
      <w:pPr>
        <w:pStyle w:val="6"/>
        <w:widowControl/>
        <w:shd w:val="clear" w:color="auto" w:fill="FFFFFF"/>
        <w:spacing w:beforeAutospacing="0" w:after="240" w:afterAutospacing="0" w:line="560" w:lineRule="exact"/>
        <w:ind w:firstLine="640" w:firstLineChars="200"/>
        <w:jc w:val="both"/>
        <w:rPr>
          <w:rFonts w:eastAsia="方正黑体_GBK"/>
          <w:bCs/>
          <w:sz w:val="32"/>
          <w:szCs w:val="32"/>
          <w:shd w:val="clear" w:color="auto" w:fill="FFFFFF"/>
        </w:rPr>
      </w:pPr>
      <w:r>
        <w:rPr>
          <w:rFonts w:eastAsia="方正黑体_GBK"/>
          <w:bCs/>
          <w:sz w:val="32"/>
          <w:szCs w:val="32"/>
          <w:shd w:val="clear" w:color="auto" w:fill="FFFFFF"/>
        </w:rPr>
        <w:t>五、存在的主要问题及改进情况</w:t>
      </w:r>
    </w:p>
    <w:p>
      <w:pPr>
        <w:pStyle w:val="12"/>
        <w:adjustRightInd w:val="0"/>
        <w:snapToGrid w:val="0"/>
        <w:ind w:firstLine="627" w:firstLineChars="200"/>
        <w:rPr>
          <w:rFonts w:hint="eastAsia" w:ascii="方正楷体_GBK" w:eastAsia="方正楷体_GBK"/>
          <w:b/>
          <w:bCs/>
        </w:rPr>
      </w:pPr>
      <w:r>
        <w:rPr>
          <w:rFonts w:hint="eastAsia" w:ascii="方正楷体_GBK" w:eastAsia="方正楷体_GBK"/>
          <w:b/>
          <w:bCs/>
        </w:rPr>
        <w:t>（一</w:t>
      </w:r>
      <w:r>
        <w:rPr>
          <w:rFonts w:eastAsia="方正楷体_GBK"/>
          <w:b/>
          <w:bCs/>
        </w:rPr>
        <w:t>）2019年</w:t>
      </w:r>
      <w:r>
        <w:rPr>
          <w:rFonts w:hint="eastAsia" w:ascii="方正楷体_GBK" w:eastAsia="方正楷体_GBK"/>
          <w:b/>
          <w:bCs/>
        </w:rPr>
        <w:t>年报中所提问题整改情况。</w:t>
      </w:r>
    </w:p>
    <w:p>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方正仿宋_GBK" w:eastAsia="方正仿宋_GBK" w:cs="方正仿宋_GBK"/>
          <w:sz w:val="32"/>
          <w:szCs w:val="32"/>
        </w:rPr>
      </w:pPr>
      <w:r>
        <w:rPr>
          <w:rFonts w:hint="eastAsia" w:ascii="方正仿宋_GBK" w:eastAsia="方正仿宋_GBK" w:cs="方正仿宋_GBK"/>
          <w:sz w:val="32"/>
          <w:szCs w:val="32"/>
        </w:rPr>
        <w:t>一是召开关区电视电话会议，组织各单位、各部门相关负责同志和具体工作人员学习相关工作要求，提高政务公开意识，营造良好工作氛围。二是利用每周二视频点名会议，通报关区收到的依申请公开事项，结合实际案例进行分析，提升政务公开工作人员的业务能力。为关区各单位、各部门配发《中华人民共和国政府信息公开条例》《中华人民共和国政府信息公开条例百问百答》，强化规范性建设。三是加大检查督导，压实工作责任。结合总署考核指标和任务分工，不定期检查政务公开工作，利用周二视频点名会议，通报检查情况，提出下一步工作要求。同时，将政务公开工作列入考核指标，进一步压实责任，努力提升关区政务公开管理整体工作水平。</w:t>
      </w:r>
      <w:r>
        <w:rPr>
          <w:rFonts w:hint="eastAsia" w:ascii="方正仿宋_GBK" w:eastAsia="方正仿宋_GBK" w:cs="方正仿宋_GBK"/>
          <w:sz w:val="32"/>
          <w:szCs w:val="32"/>
          <w:lang w:eastAsia="zh-CN"/>
        </w:rPr>
        <w:t>四</w:t>
      </w:r>
      <w:r>
        <w:rPr>
          <w:rFonts w:hint="eastAsia" w:ascii="方正仿宋_GBK" w:eastAsia="方正仿宋_GBK" w:cs="方正仿宋_GBK"/>
          <w:sz w:val="32"/>
          <w:szCs w:val="32"/>
        </w:rPr>
        <w:t>是推进重大决策和执行情况公开。通过“通知公告”栏目及时发布乌鲁木齐海关重大决策及推进情况，并对重大决策进行解读，确保公众及时了解相关情况。针对今年新冠肺炎疫情蔓延，在首页设置“疫情防控和‘六稳六保’”专栏，及时发布关区海关疫情防控和促进外贸增长相关举措等17个文件内容。同时，在门户网站“交流互动”栏目下增设“常见问题”，定期梳理12360热线热点问题进行更新，2020年更新热点问题30余条，进一步提高网站的实用性。</w:t>
      </w:r>
    </w:p>
    <w:p>
      <w:pPr>
        <w:keepNext w:val="0"/>
        <w:keepLines w:val="0"/>
        <w:pageBreakBefore w:val="0"/>
        <w:widowControl w:val="0"/>
        <w:kinsoku/>
        <w:wordWrap/>
        <w:overflowPunct/>
        <w:topLinePunct w:val="0"/>
        <w:autoSpaceDE/>
        <w:autoSpaceDN/>
        <w:bidi w:val="0"/>
        <w:adjustRightInd/>
        <w:snapToGrid/>
        <w:ind w:left="0" w:firstLine="602" w:firstLineChars="200"/>
        <w:textAlignment w:val="auto"/>
        <w:rPr>
          <w:rFonts w:hint="eastAsia" w:ascii="方正仿宋_GBK" w:eastAsia="方正仿宋_GBK" w:cs="方正仿宋_GBK"/>
          <w:sz w:val="32"/>
          <w:szCs w:val="32"/>
        </w:rPr>
      </w:pPr>
      <w:r>
        <w:rPr>
          <w:rFonts w:hint="eastAsia" w:ascii="方正楷体_GBK" w:eastAsia="方正楷体_GBK"/>
          <w:b/>
          <w:bCs/>
        </w:rPr>
        <w:t>（二）目前存在问题。</w:t>
      </w:r>
      <w:r>
        <w:rPr>
          <w:rFonts w:hint="eastAsia" w:ascii="方正仿宋_GBK" w:eastAsia="方正仿宋_GBK" w:cs="方正仿宋_GBK"/>
          <w:sz w:val="32"/>
          <w:szCs w:val="32"/>
        </w:rPr>
        <w:t>主要表现在关区单位重视程度有待进一步提升、工作规范化程度不高等。下一步我关将进一步统一思想，不断提高认识水平，充分发挥门户网站政务公开、信息发布、解读回应、办事服务、互动交流等作用，不断提升群众的满意度。同时，加强学习，提高工作规范化、标准化水平。认真学习相关制度规定等，严格按照各项工作要求，不断提升工作的规范化水平。</w:t>
      </w:r>
    </w:p>
    <w:p>
      <w:pPr>
        <w:pStyle w:val="6"/>
        <w:widowControl/>
        <w:shd w:val="clear" w:color="auto" w:fill="FFFFFF"/>
        <w:spacing w:beforeAutospacing="0" w:after="240" w:afterAutospacing="0" w:line="560" w:lineRule="exact"/>
        <w:ind w:firstLine="640" w:firstLineChars="200"/>
        <w:jc w:val="both"/>
        <w:rPr>
          <w:rFonts w:eastAsia="方正黑体_GBK"/>
          <w:bCs/>
          <w:sz w:val="32"/>
          <w:szCs w:val="32"/>
          <w:shd w:val="clear" w:color="auto" w:fill="FFFFFF"/>
        </w:rPr>
      </w:pPr>
      <w:r>
        <w:rPr>
          <w:rFonts w:eastAsia="方正黑体_GBK"/>
          <w:bCs/>
          <w:sz w:val="32"/>
          <w:szCs w:val="32"/>
          <w:shd w:val="clear" w:color="auto" w:fill="FFFFFF"/>
        </w:rPr>
        <w:t>六、其他需要报告的相关情况</w:t>
      </w:r>
    </w:p>
    <w:p>
      <w:pPr>
        <w:spacing w:line="560" w:lineRule="exact"/>
        <w:ind w:firstLine="600" w:firstLineChars="200"/>
        <w:rPr>
          <w:rFonts w:hint="eastAsia" w:eastAsia="宋体"/>
          <w:lang w:eastAsia="zh-CN"/>
        </w:rPr>
      </w:pPr>
      <w:r>
        <w:t>无</w:t>
      </w:r>
      <w:r>
        <w:rPr>
          <w:rFonts w:hint="eastAsia"/>
          <w:lang w:eastAsia="zh-CN"/>
        </w:rPr>
        <w:t>。</w:t>
      </w:r>
    </w:p>
    <w:sectPr>
      <w:footerReference r:id="rId3" w:type="default"/>
      <w:footerReference r:id="rId4" w:type="even"/>
      <w:pgSz w:w="11906" w:h="16838"/>
      <w:pgMar w:top="2098" w:right="1474" w:bottom="1871" w:left="1588" w:header="851" w:footer="992" w:gutter="0"/>
      <w:cols w:space="720" w:num="1"/>
      <w:titlePg/>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7</w:t>
    </w:r>
    <w:r>
      <w:rPr>
        <w:rFonts w:hint="eastAsia" w:ascii="仿宋_GB2312" w:eastAsia="仿宋_GB2312"/>
        <w:sz w:val="30"/>
        <w:szCs w:val="30"/>
      </w:rPr>
      <w:fldChar w:fldCharType="end"/>
    </w:r>
    <w:r>
      <w:rPr>
        <w:rFonts w:hint="eastAsia" w:ascii="仿宋_GB2312" w:eastAsia="仿宋_GB2312"/>
        <w:sz w:val="30"/>
        <w:szCs w:val="30"/>
      </w:rPr>
      <w:t>—</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2</w:t>
    </w:r>
    <w:r>
      <w:rPr>
        <w:rFonts w:hint="eastAsia" w:ascii="仿宋_GB2312" w:eastAsia="仿宋_GB2312"/>
        <w:sz w:val="30"/>
        <w:szCs w:val="30"/>
      </w:rPr>
      <w:fldChar w:fldCharType="end"/>
    </w:r>
    <w:r>
      <w:rPr>
        <w:rFonts w:hint="eastAsia" w:ascii="仿宋_GB2312" w:eastAsia="仿宋_GB2312"/>
        <w:sz w:val="30"/>
        <w:szCs w:val="30"/>
      </w:rPr>
      <w:t>—</w: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rsids>
    <w:rsidRoot w:val="00000000"/>
    <w:rsid w:val="7A931A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30"/>
      <w:lang w:val="en-US" w:eastAsia="zh-CN" w:bidi="ar-SA"/>
    </w:rPr>
  </w:style>
  <w:style w:type="paragraph" w:styleId="2">
    <w:name w:val="heading 1"/>
    <w:basedOn w:val="1"/>
    <w:next w:val="1"/>
    <w:qFormat/>
    <w:uiPriority w:val="0"/>
    <w:pPr>
      <w:jc w:val="left"/>
      <w:outlineLvl w:val="0"/>
    </w:pPr>
    <w:rPr>
      <w:rFonts w:ascii="微软雅黑" w:eastAsia="微软雅黑"/>
      <w:kern w:val="44"/>
      <w:sz w:val="10"/>
      <w:szCs w:val="10"/>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FollowedHyperlink"/>
    <w:basedOn w:val="8"/>
    <w:qFormat/>
    <w:uiPriority w:val="0"/>
    <w:rPr>
      <w:rFonts w:ascii="微软雅黑" w:eastAsia="微软雅黑" w:cs="微软雅黑"/>
      <w:color w:val="333333"/>
      <w:sz w:val="10"/>
      <w:szCs w:val="10"/>
      <w:u w:val="none"/>
    </w:rPr>
  </w:style>
  <w:style w:type="paragraph" w:customStyle="1" w:styleId="10">
    <w:name w:val="List Paragraph"/>
    <w:basedOn w:val="1"/>
    <w:qFormat/>
    <w:uiPriority w:val="0"/>
    <w:pPr>
      <w:ind w:firstLine="200" w:firstLineChars="200"/>
    </w:pPr>
  </w:style>
  <w:style w:type="paragraph" w:customStyle="1" w:styleId="11">
    <w:name w:val="样式 3 三号"/>
    <w:qFormat/>
    <w:uiPriority w:val="0"/>
    <w:pPr>
      <w:widowControl w:val="0"/>
      <w:jc w:val="both"/>
    </w:pPr>
    <w:rPr>
      <w:rFonts w:ascii="Times New Roman" w:hAnsi="Times New Roman" w:eastAsia="方正仿宋_GBK" w:cs="Times New Roman"/>
      <w:kern w:val="2"/>
      <w:sz w:val="32"/>
      <w:szCs w:val="28"/>
      <w:lang w:val="en-US" w:eastAsia="zh-CN" w:bidi="ar-SA"/>
    </w:rPr>
  </w:style>
  <w:style w:type="paragraph" w:customStyle="1" w:styleId="12">
    <w:name w:val="样式 8 三号"/>
    <w:qFormat/>
    <w:uiPriority w:val="0"/>
    <w:pPr>
      <w:widowControl w:val="0"/>
      <w:spacing w:line="560" w:lineRule="exact"/>
      <w:jc w:val="both"/>
    </w:pPr>
    <w:rPr>
      <w:rFonts w:ascii="Times New Roman" w:hAnsi="Times New Roman" w:eastAsia="方正仿宋_GBK" w:cs="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zhengzhou</Company>
  <Pages>2</Pages>
  <Words>90</Words>
  <Characters>90</Characters>
  <Lines>73</Lines>
  <Paragraphs>34</Paragraphs>
  <TotalTime>3</TotalTime>
  <ScaleCrop>false</ScaleCrop>
  <LinksUpToDate>false</LinksUpToDate>
  <CharactersWithSpaces>103</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2020-02-23T11:45:00Z</dcterms:created>
  <dc:creator>梁昉</dc:creator>
  <cp:lastModifiedBy>mrlmy</cp:lastModifiedBy>
  <dcterms:modified xsi:type="dcterms:W3CDTF">2021-09-23T09:26:31Z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SaveFontToCloudKey">
    <vt:lpwstr>380604995_embed</vt:lpwstr>
  </property>
  <property fmtid="{D5CDD505-2E9C-101B-9397-08002B2CF9AE}" pid="4" name="ICV">
    <vt:lpwstr>EA9CB509F99C4E82912527F04CFB7E6D</vt:lpwstr>
  </property>
</Properties>
</file>