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rPr>
          <w:rFonts w:ascii="Times New Roman" w:eastAsia="方正黑体_GBK" w:cs="Times New Roman" w:hAnsi="Times New Roman"/>
          <w:sz w:val="32"/>
          <w:szCs w:val="32"/>
        </w:rPr>
      </w:pPr>
      <w:r>
        <w:rPr>
          <w:rFonts w:ascii="Times New Roman" w:eastAsia="方正黑体_GBK" w:cs="Times New Roman" w:hAnsi="Times New Roman"/>
          <w:sz w:val="32"/>
          <w:szCs w:val="32"/>
        </w:rPr>
        <w:t>附件</w:t>
      </w:r>
    </w:p>
    <w:p>
      <w:pPr>
        <w:spacing w:line="560" w:lineRule="exact"/>
        <w:ind w:left="0" w:firstLineChars="200" w:firstLine="640"/>
        <w:rPr>
          <w:rFonts w:ascii="Times New Roman" w:eastAsia="方正小标宋_GBK" w:cs="Times New Roman" w:hAnsi="Times New Roman"/>
          <w:sz w:val="32"/>
          <w:szCs w:val="32"/>
        </w:rPr>
      </w:pPr>
    </w:p>
    <w:p>
      <w:pPr>
        <w:spacing w:line="560" w:lineRule="exact"/>
        <w:ind w:left="0" w:firstLineChars="200" w:firstLine="880"/>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t>乌鲁木齐海关综合保税区</w:t>
      </w:r>
      <w:r>
        <w:rPr>
          <w:rFonts w:ascii="Times New Roman" w:eastAsia="方正小标宋_GBK" w:cs="Times New Roman" w:hAnsi="Times New Roman" w:hint="eastAsia"/>
          <w:sz w:val="44"/>
          <w:szCs w:val="44"/>
        </w:rPr>
        <w:t>“</w:t>
      </w:r>
      <w:r>
        <w:rPr>
          <w:rFonts w:ascii="Times New Roman" w:eastAsia="方正小标宋_GBK" w:cs="Times New Roman" w:hAnsi="Times New Roman"/>
          <w:sz w:val="44"/>
          <w:szCs w:val="44"/>
        </w:rPr>
        <w:t>增值税一般</w:t>
      </w:r>
    </w:p>
    <w:p>
      <w:pPr>
        <w:spacing w:line="560" w:lineRule="exact"/>
        <w:ind w:left="0" w:firstLineChars="200" w:firstLine="880"/>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t>纳税人企业</w:t>
      </w:r>
      <w:r>
        <w:rPr>
          <w:rFonts w:ascii="Times New Roman" w:eastAsia="方正小标宋_GBK" w:cs="Times New Roman" w:hAnsi="Times New Roman" w:hint="eastAsia"/>
          <w:sz w:val="44"/>
          <w:szCs w:val="44"/>
        </w:rPr>
        <w:t>”</w:t>
      </w:r>
      <w:r>
        <w:rPr>
          <w:rFonts w:ascii="Times New Roman" w:eastAsia="方正小标宋_GBK" w:cs="Times New Roman" w:hAnsi="Times New Roman"/>
          <w:sz w:val="44"/>
          <w:szCs w:val="44"/>
        </w:rPr>
        <w:t>海关监管细则</w:t>
      </w:r>
    </w:p>
    <w:p>
      <w:pPr>
        <w:pStyle w:val="17"/>
        <w:autoSpaceDN w:val="0"/>
        <w:spacing w:line="560" w:lineRule="exact"/>
        <w:ind w:firstLineChars="200" w:firstLine="640"/>
        <w:jc w:val="center"/>
        <w:rPr>
          <w:rFonts w:ascii="Times New Roman" w:eastAsia="方正黑体_GBK" w:cs="Times New Roman" w:hAnsi="Times New Roman"/>
          <w:sz w:val="32"/>
          <w:szCs w:val="32"/>
        </w:rPr>
      </w:pPr>
      <w:bookmarkStart w:id="0" w:name="_GoBack"/>
      <w:bookmarkEnd w:id="0"/>
    </w:p>
    <w:p>
      <w:pPr>
        <w:pStyle w:val="17"/>
        <w:autoSpaceDN w:val="0"/>
        <w:spacing w:line="560" w:lineRule="exact"/>
        <w:ind w:firstLineChars="200" w:firstLine="640"/>
        <w:jc w:val="center"/>
        <w:rPr>
          <w:rFonts w:ascii="Times New Roman" w:eastAsia="方正黑体_GBK" w:cs="Times New Roman" w:hAnsi="Times New Roman"/>
          <w:sz w:val="32"/>
          <w:szCs w:val="32"/>
        </w:rPr>
      </w:pPr>
      <w:r>
        <w:rPr>
          <w:rFonts w:ascii="Times New Roman" w:eastAsia="方正黑体_GBK" w:cs="Times New Roman" w:hAnsi="Times New Roman"/>
          <w:sz w:val="32"/>
          <w:szCs w:val="32"/>
        </w:rPr>
        <w:t>第一章 总则</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第一条 </w:t>
      </w:r>
      <w:r>
        <w:rPr>
          <w:rFonts w:ascii="Times New Roman" w:eastAsia="方正仿宋_GBK" w:cs="Times New Roman" w:hAnsi="Times New Roman"/>
          <w:sz w:val="32"/>
          <w:szCs w:val="32"/>
        </w:rPr>
        <w:t>为落实《国务院关于促进综合保税区高水平开放高质量发展的若干意见》（国发〔2019〕3号）要求，根据《国家税务总局财政部海关总署关于在综合保税区推广增值税一般纳税人资格试点的公告》（国家税务总局财政部海关总署联合公告2019年第29号）以及总署相关文件要求，制定本监管细则。</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第二条  </w:t>
      </w:r>
      <w:r>
        <w:rPr>
          <w:rFonts w:ascii="Times New Roman" w:eastAsia="方正仿宋_GBK" w:cs="Times New Roman" w:hAnsi="Times New Roman"/>
          <w:sz w:val="32"/>
          <w:szCs w:val="32"/>
        </w:rPr>
        <w:t>辖区开展增值税一般纳税人资格试点的综合保税区（以下简称</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试点区域</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）内企业（以下简称</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试点企业</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），适用本监管细则。</w:t>
      </w:r>
    </w:p>
    <w:p>
      <w:pPr>
        <w:spacing w:line="560" w:lineRule="exact"/>
        <w:ind w:left="0" w:firstLineChars="200" w:firstLine="640"/>
        <w:rPr>
          <w:rFonts w:ascii="Times New Roman" w:eastAsia="方正仿宋_GBK" w:cs="Times New Roman" w:hAnsi="Times New Roman"/>
          <w:b/>
          <w:bCs/>
          <w:sz w:val="32"/>
          <w:szCs w:val="32"/>
        </w:rPr>
      </w:pPr>
    </w:p>
    <w:p>
      <w:pPr>
        <w:pStyle w:val="17"/>
        <w:autoSpaceDN w:val="0"/>
        <w:spacing w:line="560" w:lineRule="exact"/>
        <w:ind w:firstLineChars="200" w:firstLine="640"/>
        <w:jc w:val="center"/>
        <w:rPr>
          <w:rFonts w:ascii="Times New Roman" w:eastAsia="方正黑体_GBK" w:cs="Times New Roman" w:hAnsi="Times New Roman"/>
          <w:sz w:val="32"/>
          <w:szCs w:val="32"/>
        </w:rPr>
      </w:pPr>
      <w:r>
        <w:rPr>
          <w:rFonts w:ascii="Times New Roman" w:eastAsia="方正黑体_GBK" w:cs="Times New Roman" w:hAnsi="Times New Roman"/>
          <w:sz w:val="32"/>
          <w:szCs w:val="32"/>
        </w:rPr>
        <w:t>第二章 备案和申请</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第三条  </w:t>
      </w:r>
      <w:r>
        <w:rPr>
          <w:rFonts w:ascii="Times New Roman" w:eastAsia="方正仿宋_GBK" w:cs="Times New Roman" w:hAnsi="Times New Roman"/>
          <w:sz w:val="32"/>
          <w:szCs w:val="32"/>
        </w:rPr>
        <w:t>辖区综合保税区增值税一般纳税人资格试点</w:t>
      </w:r>
      <w:r>
        <w:rPr>
          <w:rFonts w:ascii="方正仿宋_GBK" w:eastAsia="方正仿宋_GBK" w:cs="Times New Roman" w:hint="eastAsia"/>
          <w:sz w:val="32"/>
          <w:szCs w:val="32"/>
        </w:rPr>
        <w:t>(</w:t>
      </w:r>
      <w:r>
        <w:rPr>
          <w:rFonts w:ascii="Times New Roman" w:eastAsia="方正仿宋_GBK" w:cs="Times New Roman" w:hAnsi="Times New Roman"/>
          <w:sz w:val="32"/>
          <w:szCs w:val="32"/>
        </w:rPr>
        <w:t>以下简称</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一般纳税人资格试点</w:t>
      </w:r>
      <w:r>
        <w:rPr>
          <w:rFonts w:ascii="Times New Roman" w:eastAsia="方正仿宋_GBK" w:cs="Times New Roman" w:hAnsi="Times New Roman" w:hint="eastAsia"/>
          <w:sz w:val="32"/>
          <w:szCs w:val="32"/>
        </w:rPr>
        <w:t>”</w:t>
      </w:r>
      <w:r>
        <w:rPr>
          <w:rFonts w:ascii="方正仿宋_GBK" w:eastAsia="方正仿宋_GBK" w:cs="Times New Roman" w:hint="eastAsia"/>
          <w:sz w:val="32"/>
          <w:szCs w:val="32"/>
        </w:rPr>
        <w:t>)</w:t>
      </w:r>
      <w:r>
        <w:rPr>
          <w:rFonts w:ascii="Times New Roman" w:eastAsia="方正仿宋_GBK" w:cs="Times New Roman" w:hAnsi="Times New Roman"/>
          <w:sz w:val="32"/>
          <w:szCs w:val="32"/>
        </w:rPr>
        <w:t>实行备案管理。符合下列条件的综合保税区，由该区主管地海关会同当地税务、财政部门进行深入调研后，分条线将一般纳税人资格试点实施方案</w:t>
      </w:r>
      <w:r>
        <w:rPr>
          <w:rFonts w:ascii="方正仿宋_GBK" w:eastAsia="方正仿宋_GBK" w:cs="Times New Roman" w:hint="eastAsia"/>
          <w:sz w:val="32"/>
          <w:szCs w:val="32"/>
        </w:rPr>
        <w:t>(</w:t>
      </w:r>
      <w:r>
        <w:rPr>
          <w:rFonts w:ascii="Times New Roman" w:eastAsia="方正仿宋_GBK" w:cs="Times New Roman" w:hAnsi="Times New Roman"/>
          <w:sz w:val="32"/>
          <w:szCs w:val="32"/>
        </w:rPr>
        <w:t>包括综合保税区名称、企业申请需求、政策实施准备条件等情况</w:t>
      </w:r>
      <w:r>
        <w:rPr>
          <w:rFonts w:ascii="方正仿宋_GBK" w:eastAsia="方正仿宋_GBK" w:cs="Times New Roman" w:hint="eastAsia"/>
          <w:sz w:val="32"/>
          <w:szCs w:val="32"/>
        </w:rPr>
        <w:t>)</w:t>
      </w:r>
      <w:r>
        <w:rPr>
          <w:rFonts w:ascii="Times New Roman" w:eastAsia="方正仿宋_GBK" w:cs="Times New Roman" w:hAnsi="Times New Roman"/>
          <w:sz w:val="32"/>
          <w:szCs w:val="32"/>
        </w:rPr>
        <w:t>报送至自治区税务、财政部门以及乌鲁木齐海关职能管理部门，乌鲁木齐海关积极配合税务、财政部门向国家税务总局、财政部和海关总署备案后，可以开展一般纳税人资格试点：</w:t>
      </w:r>
    </w:p>
    <w:p>
      <w:pPr>
        <w:spacing w:line="560" w:lineRule="exact"/>
        <w:ind w:left="0" w:firstLineChars="200" w:firstLine="640"/>
        <w:rPr>
          <w:rFonts w:ascii="方正仿宋_GBK" w:eastAsia="方正仿宋_GBK" w:cs="Times New Roman" w:hint="eastAsia"/>
          <w:sz w:val="32"/>
          <w:szCs w:val="32"/>
        </w:rPr>
      </w:pPr>
      <w:r>
        <w:rPr>
          <w:rFonts w:ascii="方正仿宋_GBK" w:eastAsia="方正仿宋_GBK" w:cs="Times New Roman" w:hint="eastAsia"/>
          <w:sz w:val="32"/>
          <w:szCs w:val="32"/>
        </w:rPr>
        <w:t>(</w:t>
      </w:r>
      <w:r>
        <w:rPr>
          <w:rFonts w:ascii="Times New Roman" w:eastAsia="方正仿宋_GBK" w:cs="Times New Roman" w:hAnsi="Times New Roman"/>
          <w:sz w:val="32"/>
          <w:szCs w:val="32"/>
        </w:rPr>
        <w:t>一</w:t>
      </w:r>
      <w:r>
        <w:rPr>
          <w:rFonts w:ascii="方正仿宋_GBK" w:eastAsia="方正仿宋_GBK" w:cs="Times New Roman" w:hint="eastAsia"/>
          <w:sz w:val="32"/>
          <w:szCs w:val="32"/>
        </w:rPr>
        <w:t>)</w:t>
      </w:r>
      <w:r>
        <w:rPr>
          <w:rFonts w:ascii="Times New Roman" w:eastAsia="方正仿宋_GBK" w:cs="Times New Roman" w:hAnsi="Times New Roman"/>
          <w:sz w:val="32"/>
          <w:szCs w:val="32"/>
        </w:rPr>
        <w:t>综合保税区内企业确有开展一般纳税人资格试点的需求</w:t>
      </w:r>
      <w:r>
        <w:rPr>
          <w:rFonts w:ascii="方正仿宋_GBK" w:eastAsia="方正仿宋_GBK" w:cs="Times New Roman" w:hint="eastAsia"/>
          <w:sz w:val="32"/>
          <w:szCs w:val="32"/>
        </w:rPr>
        <w:t>;</w:t>
      </w:r>
    </w:p>
    <w:p>
      <w:pPr>
        <w:spacing w:line="560" w:lineRule="exact"/>
        <w:ind w:left="0" w:firstLineChars="200" w:firstLine="640"/>
        <w:rPr>
          <w:rFonts w:ascii="Times New Roman" w:eastAsia="方正仿宋_GBK" w:cs="Times New Roman" w:hAnsi="Times New Roman"/>
          <w:sz w:val="32"/>
          <w:szCs w:val="32"/>
        </w:rPr>
      </w:pPr>
      <w:r>
        <w:rPr>
          <w:rFonts w:ascii="方正仿宋_GBK" w:eastAsia="方正仿宋_GBK" w:cs="Times New Roman" w:hint="eastAsia"/>
          <w:sz w:val="32"/>
          <w:szCs w:val="32"/>
        </w:rPr>
        <w:t>(</w:t>
      </w:r>
      <w:r>
        <w:rPr>
          <w:rFonts w:ascii="Times New Roman" w:eastAsia="方正仿宋_GBK" w:cs="Times New Roman" w:hAnsi="Times New Roman"/>
          <w:sz w:val="32"/>
          <w:szCs w:val="32"/>
        </w:rPr>
        <w:t>二</w:t>
      </w:r>
      <w:r>
        <w:rPr>
          <w:rFonts w:ascii="方正仿宋_GBK" w:eastAsia="方正仿宋_GBK" w:cs="Times New Roman" w:hint="eastAsia"/>
          <w:sz w:val="32"/>
          <w:szCs w:val="32"/>
        </w:rPr>
        <w:t>)</w:t>
      </w:r>
      <w:r>
        <w:rPr>
          <w:rFonts w:ascii="Times New Roman" w:eastAsia="方正仿宋_GBK" w:cs="Times New Roman" w:hAnsi="Times New Roman"/>
          <w:sz w:val="32"/>
          <w:szCs w:val="32"/>
        </w:rPr>
        <w:t>所在地市(地)级人民政府牵头建立了综合保税区行政管理机构、税务、海关等部门协同推进试点的工作机制；</w:t>
      </w:r>
    </w:p>
    <w:p>
      <w:pPr>
        <w:spacing w:line="560" w:lineRule="exact"/>
        <w:ind w:left="0" w:firstLineChars="200" w:firstLine="640"/>
        <w:rPr>
          <w:rFonts w:ascii="Times New Roman" w:eastAsia="方正仿宋_GBK" w:cs="Times New Roman" w:hAnsi="Times New Roman"/>
          <w:sz w:val="32"/>
          <w:szCs w:val="32"/>
        </w:rPr>
      </w:pPr>
      <w:r>
        <w:rPr>
          <w:rFonts w:ascii="方正仿宋_GBK" w:eastAsia="方正仿宋_GBK" w:cs="Times New Roman" w:hint="eastAsia"/>
          <w:sz w:val="32"/>
          <w:szCs w:val="32"/>
        </w:rPr>
        <w:t>(</w:t>
      </w:r>
      <w:r>
        <w:rPr>
          <w:rFonts w:ascii="Times New Roman" w:eastAsia="方正仿宋_GBK" w:cs="Times New Roman" w:hAnsi="Times New Roman"/>
          <w:sz w:val="32"/>
          <w:szCs w:val="32"/>
        </w:rPr>
        <w:t>三</w:t>
      </w:r>
      <w:r>
        <w:rPr>
          <w:rFonts w:ascii="方正仿宋_GBK" w:eastAsia="方正仿宋_GBK" w:cs="Times New Roman" w:hint="eastAsia"/>
          <w:sz w:val="32"/>
          <w:szCs w:val="32"/>
        </w:rPr>
        <w:t>)</w:t>
      </w:r>
      <w:r>
        <w:rPr>
          <w:rFonts w:ascii="Times New Roman" w:eastAsia="方正仿宋_GBK" w:cs="Times New Roman" w:hAnsi="Times New Roman"/>
          <w:sz w:val="32"/>
          <w:szCs w:val="32"/>
        </w:rPr>
        <w:t>综合保税区主管税务机关和海关建立了一般纳税人资格试点工作相关的联合监管和信息共享机制；</w:t>
      </w:r>
    </w:p>
    <w:p>
      <w:pPr>
        <w:spacing w:line="560" w:lineRule="exact"/>
        <w:ind w:left="0" w:firstLineChars="200" w:firstLine="640"/>
        <w:rPr>
          <w:rFonts w:ascii="Times New Roman" w:eastAsia="方正仿宋_GBK" w:cs="Times New Roman" w:hAnsi="Times New Roman"/>
          <w:sz w:val="32"/>
          <w:szCs w:val="32"/>
        </w:rPr>
      </w:pPr>
      <w:r>
        <w:rPr>
          <w:rFonts w:ascii="方正仿宋_GBK" w:eastAsia="方正仿宋_GBK" w:cs="Times New Roman" w:hint="eastAsia"/>
          <w:sz w:val="32"/>
          <w:szCs w:val="32"/>
        </w:rPr>
        <w:t xml:space="preserve"> (</w:t>
      </w:r>
      <w:r>
        <w:rPr>
          <w:rFonts w:ascii="Times New Roman" w:eastAsia="方正仿宋_GBK" w:cs="Times New Roman" w:hAnsi="Times New Roman"/>
          <w:sz w:val="32"/>
          <w:szCs w:val="32"/>
        </w:rPr>
        <w:t>四</w:t>
      </w:r>
      <w:r>
        <w:rPr>
          <w:rFonts w:ascii="方正仿宋_GBK" w:eastAsia="方正仿宋_GBK" w:cs="Times New Roman" w:hint="eastAsia"/>
          <w:sz w:val="32"/>
          <w:szCs w:val="32"/>
        </w:rPr>
        <w:t>)</w:t>
      </w:r>
      <w:r>
        <w:rPr>
          <w:rFonts w:ascii="Times New Roman" w:eastAsia="方正仿宋_GBK" w:cs="Times New Roman" w:hAnsi="Times New Roman"/>
          <w:sz w:val="32"/>
          <w:szCs w:val="32"/>
        </w:rPr>
        <w:t>综合保税区主管税务机关具备在综合保税区开展工作的条件，明确专门机构或人员负责纳税服务、税收征管等相关工作。</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前期已获得试点资格的综合保税区，无需重新备案。</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第四条  </w:t>
      </w:r>
      <w:r>
        <w:rPr>
          <w:rFonts w:ascii="Times New Roman" w:eastAsia="方正仿宋_GBK" w:cs="Times New Roman" w:hAnsi="Times New Roman"/>
          <w:sz w:val="32"/>
          <w:szCs w:val="32"/>
        </w:rPr>
        <w:t>综合保税区完成备案后，乌鲁木齐海关职能管理部门通过金二系统开启该试点区域的一般纳税人资格开关（开关路径：海关特殊监管区域 &gt; 系统管理 &gt; 加工账册设置）。</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 xml:space="preserve">区内符合增值税一般纳税人登记管理有关规定的企业，应按照自愿的原则先向主管税务机关申请试点，经审核通过后向主管海关提出申请。   </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第五条  </w:t>
      </w:r>
      <w:r>
        <w:rPr>
          <w:rFonts w:ascii="Times New Roman" w:eastAsia="方正仿宋_GBK" w:cs="Times New Roman" w:hAnsi="Times New Roman"/>
          <w:sz w:val="32"/>
          <w:szCs w:val="32"/>
        </w:rPr>
        <w:t>向主管海关申请的企业需满足下列条件：</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（一）企业信用等级为一般信用企业及以上；</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二）根据《中华人民共和国会计法》以及海关有关规定，设置符合海关监管要求的账簿、报表以及其他有关单证，记录与本企业生产经营有关的采购、存储、转让、转移、销售、加工、使用、损耗和进出口等情况，凭合法、有效凭证记账并进行核算；</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（三）对保税货物与非保税货物实施分开管理。</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第六条  </w:t>
      </w:r>
      <w:r>
        <w:rPr>
          <w:rFonts w:ascii="Times New Roman" w:eastAsia="方正仿宋_GBK" w:cs="Times New Roman" w:hAnsi="Times New Roman"/>
          <w:sz w:val="32"/>
          <w:szCs w:val="32"/>
        </w:rPr>
        <w:t>向主管海关申请的企业需提交下列材料：</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（一）证明企业已向主管税务机关申请试点的相关材料；</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（二）海关认为需要提交的其他材料。</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第七条  </w:t>
      </w:r>
      <w:r>
        <w:rPr>
          <w:rFonts w:ascii="Times New Roman" w:eastAsia="方正仿宋_GBK" w:cs="Times New Roman" w:hAnsi="Times New Roman"/>
          <w:sz w:val="32"/>
          <w:szCs w:val="32"/>
        </w:rPr>
        <w:t>主管海关应当在5个工作日内完成审核，反馈企</w:t>
      </w:r>
      <w:r>
        <w:rPr>
          <w:rFonts w:ascii="Times New Roman" w:eastAsia="方正仿宋_GBK" w:cs="Times New Roman" w:hAnsi="Times New Roman"/>
          <w:bCs/>
          <w:sz w:val="32"/>
          <w:szCs w:val="32"/>
        </w:rPr>
        <w:t>业</w:t>
      </w:r>
      <w:r>
        <w:rPr>
          <w:rFonts w:ascii="Times New Roman" w:eastAsia="方正仿宋_GBK" w:cs="Times New Roman" w:hAnsi="Times New Roman"/>
          <w:b/>
          <w:bCs/>
          <w:sz w:val="32"/>
          <w:szCs w:val="32"/>
        </w:rPr>
        <w:t>。</w:t>
      </w:r>
      <w:r>
        <w:rPr>
          <w:rFonts w:ascii="Times New Roman" w:eastAsia="方正仿宋_GBK" w:cs="Times New Roman" w:hAnsi="Times New Roman"/>
          <w:sz w:val="32"/>
          <w:szCs w:val="32"/>
        </w:rPr>
        <w:t>符合条件的，主管海关应当在5个工作日内完成金二系统一般纳税人试点企业维护（维护路径：海关特殊监管区域 &gt; 系统管理 &gt; 一般纳税人试点企业维护）。</w:t>
      </w:r>
    </w:p>
    <w:p>
      <w:pPr>
        <w:spacing w:line="560" w:lineRule="exact"/>
        <w:ind w:left="0" w:firstLineChars="200" w:firstLine="640"/>
        <w:rPr>
          <w:rFonts w:ascii="Times New Roman" w:eastAsia="方正仿宋_GBK" w:cs="Times New Roman" w:hAnsi="Times New Roman"/>
          <w:sz w:val="32"/>
          <w:szCs w:val="32"/>
        </w:rPr>
      </w:pPr>
    </w:p>
    <w:p>
      <w:pPr>
        <w:pStyle w:val="17"/>
        <w:autoSpaceDN w:val="0"/>
        <w:spacing w:line="560" w:lineRule="exact"/>
        <w:ind w:firstLineChars="200" w:firstLine="640"/>
        <w:jc w:val="center"/>
        <w:rPr>
          <w:rFonts w:ascii="Times New Roman" w:eastAsia="方正黑体_GBK" w:cs="Times New Roman" w:hAnsi="Times New Roman"/>
          <w:sz w:val="32"/>
          <w:szCs w:val="32"/>
        </w:rPr>
      </w:pPr>
      <w:r>
        <w:rPr>
          <w:rFonts w:ascii="Times New Roman" w:eastAsia="方正黑体_GBK" w:cs="Times New Roman" w:hAnsi="Times New Roman"/>
          <w:sz w:val="32"/>
          <w:szCs w:val="32"/>
        </w:rPr>
        <w:t>第三章 税收政策</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第八条  </w:t>
      </w:r>
      <w:r>
        <w:rPr>
          <w:rFonts w:ascii="Times New Roman" w:eastAsia="方正仿宋_GBK" w:cs="Times New Roman" w:hAnsi="Times New Roman"/>
          <w:sz w:val="32"/>
          <w:szCs w:val="32"/>
        </w:rPr>
        <w:t>试点企业进口自用设备(包括机器设备、基建物资和办公用品)时，暂免征收进口关税和进口环节增值税、消费税</w:t>
      </w:r>
      <w:r>
        <w:rPr>
          <w:rFonts w:ascii="方正仿宋_GBK" w:eastAsia="方正仿宋_GBK" w:cs="Times New Roman" w:hint="eastAsia"/>
          <w:sz w:val="32"/>
          <w:szCs w:val="32"/>
        </w:rPr>
        <w:t>(</w:t>
      </w:r>
      <w:r>
        <w:rPr>
          <w:rFonts w:ascii="Times New Roman" w:eastAsia="方正仿宋_GBK" w:cs="Times New Roman" w:hAnsi="Times New Roman"/>
          <w:sz w:val="32"/>
          <w:szCs w:val="32"/>
        </w:rPr>
        <w:t>以下简称进口税收</w:t>
      </w:r>
      <w:r>
        <w:rPr>
          <w:rFonts w:ascii="方正仿宋_GBK" w:eastAsia="方正仿宋_GBK" w:cs="Times New Roman" w:hint="eastAsia"/>
          <w:sz w:val="32"/>
          <w:szCs w:val="32"/>
        </w:rPr>
        <w:t>)</w:t>
      </w:r>
      <w:r>
        <w:rPr>
          <w:rFonts w:ascii="Times New Roman" w:eastAsia="方正仿宋_GBK" w:cs="Times New Roman" w:hAnsi="Times New Roman"/>
          <w:sz w:val="32"/>
          <w:szCs w:val="32"/>
        </w:rPr>
        <w:t>。上述暂免进口税收具体按照本细则第四章办理。</w:t>
      </w:r>
    </w:p>
    <w:p>
      <w:pPr>
        <w:spacing w:line="560" w:lineRule="exact"/>
        <w:ind w:left="0" w:firstLineChars="200" w:firstLine="640"/>
        <w:rPr>
          <w:rFonts w:ascii="方正仿宋_GBK" w:eastAsia="方正仿宋_GBK" w:cs="Times New Roman" w:hint="eastAsia"/>
          <w:sz w:val="32"/>
          <w:szCs w:val="32"/>
        </w:rPr>
      </w:pPr>
      <w:r>
        <w:rPr>
          <w:rFonts w:ascii="Times New Roman" w:eastAsia="方正仿宋_GBK" w:cs="Times New Roman" w:hAnsi="Times New Roman"/>
          <w:b/>
          <w:bCs/>
          <w:sz w:val="32"/>
          <w:szCs w:val="32"/>
        </w:rPr>
        <w:t xml:space="preserve">第九条  </w:t>
      </w:r>
      <w:r>
        <w:rPr>
          <w:rFonts w:ascii="Times New Roman" w:eastAsia="方正仿宋_GBK" w:cs="Times New Roman" w:hAnsi="Times New Roman"/>
          <w:sz w:val="32"/>
          <w:szCs w:val="32"/>
        </w:rPr>
        <w:t>除进口自用设备外，试点企业购买的下列货物适用保税政策</w:t>
      </w:r>
      <w:r>
        <w:rPr>
          <w:rFonts w:ascii="方正仿宋_GBK" w:eastAsia="方正仿宋_GBK" w:cs="Times New Roman" w:hint="eastAsia"/>
          <w:sz w:val="32"/>
          <w:szCs w:val="32"/>
        </w:rPr>
        <w:t>:</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（一）从境外购买并进入试点区域的货物；</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（二）从海关特殊监管区域</w:t>
      </w:r>
      <w:r>
        <w:rPr>
          <w:rFonts w:ascii="方正仿宋_GBK" w:eastAsia="方正仿宋_GBK" w:cs="Times New Roman" w:hint="eastAsia"/>
          <w:sz w:val="32"/>
          <w:szCs w:val="32"/>
        </w:rPr>
        <w:t>(</w:t>
      </w:r>
      <w:r>
        <w:rPr>
          <w:rFonts w:ascii="Times New Roman" w:eastAsia="方正仿宋_GBK" w:cs="Times New Roman" w:hAnsi="Times New Roman"/>
          <w:sz w:val="32"/>
          <w:szCs w:val="32"/>
        </w:rPr>
        <w:t>试点区域除外</w:t>
      </w:r>
      <w:r>
        <w:rPr>
          <w:rFonts w:ascii="方正仿宋_GBK" w:eastAsia="方正仿宋_GBK" w:cs="Times New Roman" w:hint="eastAsia"/>
          <w:sz w:val="32"/>
          <w:szCs w:val="32"/>
        </w:rPr>
        <w:t>)</w:t>
      </w:r>
      <w:r>
        <w:rPr>
          <w:rFonts w:ascii="Times New Roman" w:eastAsia="方正仿宋_GBK" w:cs="Times New Roman" w:hAnsi="Times New Roman"/>
          <w:sz w:val="32"/>
          <w:szCs w:val="32"/>
        </w:rPr>
        <w:t>或海关保税监管场所购买并进入试点区域的保税货物；</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（三）从试点区域内非试点企业购买的保税货物；</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（四）从试点区域内其他试点企业购买的未经加工的保税货物。</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第十条  </w:t>
      </w:r>
      <w:r>
        <w:rPr>
          <w:rFonts w:ascii="Times New Roman" w:eastAsia="方正仿宋_GBK" w:cs="Times New Roman" w:hAnsi="Times New Roman"/>
          <w:bCs/>
          <w:sz w:val="32"/>
          <w:szCs w:val="32"/>
        </w:rPr>
        <w:t>试点企业</w:t>
      </w:r>
      <w:r>
        <w:rPr>
          <w:rFonts w:ascii="Times New Roman" w:eastAsia="方正仿宋_GBK" w:cs="Times New Roman" w:hAnsi="Times New Roman"/>
          <w:sz w:val="32"/>
          <w:szCs w:val="32"/>
        </w:rPr>
        <w:t>销售的下列货物，向主管税务机关申报缴纳增值税、消费税</w:t>
      </w:r>
      <w:r>
        <w:rPr>
          <w:rFonts w:ascii="方正仿宋_GBK" w:eastAsia="方正仿宋_GBK" w:cs="Times New Roman" w:hint="eastAsia"/>
          <w:sz w:val="32"/>
          <w:szCs w:val="32"/>
        </w:rPr>
        <w:t>:</w:t>
      </w:r>
      <w:r>
        <w:rPr>
          <w:rFonts w:ascii="Times New Roman" w:eastAsia="方正仿宋_GBK" w:cs="Times New Roman" w:hAnsi="Times New Roman"/>
          <w:sz w:val="32"/>
          <w:szCs w:val="32"/>
        </w:rPr>
        <w:t xml:space="preserve"> </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（一）向境内区外销售的货物；</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（二）向保税区、不具备退税功能的保税监管场所销售的货物</w:t>
      </w:r>
      <w:r>
        <w:rPr>
          <w:rFonts w:ascii="方正仿宋_GBK" w:eastAsia="方正仿宋_GBK" w:cs="Times New Roman" w:hint="eastAsia"/>
          <w:sz w:val="32"/>
          <w:szCs w:val="32"/>
        </w:rPr>
        <w:t>(</w:t>
      </w:r>
      <w:r>
        <w:rPr>
          <w:rFonts w:ascii="Times New Roman" w:eastAsia="方正仿宋_GBK" w:cs="Times New Roman" w:hAnsi="Times New Roman"/>
          <w:sz w:val="32"/>
          <w:szCs w:val="32"/>
        </w:rPr>
        <w:t>未经加工的保税货物除外</w:t>
      </w:r>
      <w:r>
        <w:rPr>
          <w:rFonts w:ascii="方正仿宋_GBK" w:eastAsia="方正仿宋_GBK" w:cs="Times New Roman" w:hint="eastAsia"/>
          <w:sz w:val="32"/>
          <w:szCs w:val="32"/>
        </w:rPr>
        <w:t>)</w:t>
      </w:r>
      <w:r>
        <w:rPr>
          <w:rFonts w:ascii="Times New Roman" w:eastAsia="方正仿宋_GBK" w:cs="Times New Roman" w:hAnsi="Times New Roman"/>
          <w:sz w:val="32"/>
          <w:szCs w:val="32"/>
        </w:rPr>
        <w:t>；</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（三）向试点区域内其他试点企业销售的货物</w:t>
      </w:r>
      <w:r>
        <w:rPr>
          <w:rFonts w:ascii="方正仿宋_GBK" w:eastAsia="方正仿宋_GBK" w:cs="Times New Roman" w:hint="eastAsia"/>
          <w:sz w:val="32"/>
          <w:szCs w:val="32"/>
        </w:rPr>
        <w:t>(</w:t>
      </w:r>
      <w:r>
        <w:rPr>
          <w:rFonts w:ascii="Times New Roman" w:eastAsia="方正仿宋_GBK" w:cs="Times New Roman" w:hAnsi="Times New Roman"/>
          <w:sz w:val="32"/>
          <w:szCs w:val="32"/>
        </w:rPr>
        <w:t>未经加工的保税货物除外</w:t>
      </w:r>
      <w:r>
        <w:rPr>
          <w:rFonts w:ascii="方正仿宋_GBK" w:eastAsia="方正仿宋_GBK" w:cs="Times New Roman" w:hint="eastAsia"/>
          <w:sz w:val="32"/>
          <w:szCs w:val="32"/>
        </w:rPr>
        <w:t>)</w:t>
      </w:r>
      <w:r>
        <w:rPr>
          <w:rFonts w:ascii="Times New Roman" w:eastAsia="方正仿宋_GBK" w:cs="Times New Roman" w:hAnsi="Times New Roman"/>
          <w:sz w:val="32"/>
          <w:szCs w:val="32"/>
        </w:rPr>
        <w:t>。</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试点企业销售上述货物中含有保税货物的，按照保税货物进入海关特殊监管区域时的状态向海关申报缴纳进口税收，并按照规定补缴缓税利息。</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第十一条 </w:t>
      </w:r>
      <w:r>
        <w:rPr>
          <w:rFonts w:ascii="Times New Roman" w:eastAsia="方正仿宋_GBK" w:cs="Times New Roman" w:hAnsi="Times New Roman"/>
          <w:bCs/>
          <w:sz w:val="32"/>
          <w:szCs w:val="32"/>
        </w:rPr>
        <w:t xml:space="preserve"> 试点企业</w:t>
      </w:r>
      <w:r>
        <w:rPr>
          <w:rFonts w:ascii="Times New Roman" w:eastAsia="方正仿宋_GBK" w:cs="Times New Roman" w:hAnsi="Times New Roman"/>
          <w:sz w:val="32"/>
          <w:szCs w:val="32"/>
        </w:rPr>
        <w:t>向海关特殊监管区域或者海关保税监管场所销售的未经加工的保税货物，继续适用保税政策。</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第十二条  </w:t>
      </w:r>
      <w:r>
        <w:rPr>
          <w:rFonts w:ascii="Times New Roman" w:eastAsia="方正仿宋_GBK" w:cs="Times New Roman" w:hAnsi="Times New Roman"/>
          <w:bCs/>
          <w:sz w:val="32"/>
          <w:szCs w:val="32"/>
        </w:rPr>
        <w:t>试点企业</w:t>
      </w:r>
      <w:r>
        <w:rPr>
          <w:rFonts w:ascii="Times New Roman" w:eastAsia="方正仿宋_GBK" w:cs="Times New Roman" w:hAnsi="Times New Roman"/>
          <w:sz w:val="32"/>
          <w:szCs w:val="32"/>
        </w:rPr>
        <w:t>销售的下列货物</w:t>
      </w:r>
      <w:r>
        <w:rPr>
          <w:rFonts w:ascii="方正仿宋_GBK" w:eastAsia="方正仿宋_GBK" w:cs="Times New Roman" w:hint="eastAsia"/>
          <w:sz w:val="32"/>
          <w:szCs w:val="32"/>
        </w:rPr>
        <w:t>(</w:t>
      </w:r>
      <w:r>
        <w:rPr>
          <w:rFonts w:ascii="Times New Roman" w:eastAsia="方正仿宋_GBK" w:cs="Times New Roman" w:hAnsi="Times New Roman"/>
          <w:sz w:val="32"/>
          <w:szCs w:val="32"/>
        </w:rPr>
        <w:t>未经加工的保税货物除外</w:t>
      </w:r>
      <w:r>
        <w:rPr>
          <w:rFonts w:ascii="方正仿宋_GBK" w:eastAsia="方正仿宋_GBK" w:cs="Times New Roman" w:hint="eastAsia"/>
          <w:sz w:val="32"/>
          <w:szCs w:val="32"/>
        </w:rPr>
        <w:t>)</w:t>
      </w:r>
      <w:r>
        <w:rPr>
          <w:rFonts w:ascii="Times New Roman" w:eastAsia="方正仿宋_GBK" w:cs="Times New Roman" w:hAnsi="Times New Roman"/>
          <w:sz w:val="32"/>
          <w:szCs w:val="32"/>
        </w:rPr>
        <w:t>，适用出口退</w:t>
      </w:r>
      <w:r>
        <w:rPr>
          <w:rFonts w:ascii="方正仿宋_GBK" w:eastAsia="方正仿宋_GBK" w:cs="Times New Roman" w:hint="eastAsia"/>
          <w:sz w:val="32"/>
          <w:szCs w:val="32"/>
        </w:rPr>
        <w:t>(</w:t>
      </w:r>
      <w:r>
        <w:rPr>
          <w:rFonts w:ascii="Times New Roman" w:eastAsia="方正仿宋_GBK" w:cs="Times New Roman" w:hAnsi="Times New Roman"/>
          <w:sz w:val="32"/>
          <w:szCs w:val="32"/>
        </w:rPr>
        <w:t>免</w:t>
      </w:r>
      <w:r>
        <w:rPr>
          <w:rFonts w:ascii="方正仿宋_GBK" w:eastAsia="方正仿宋_GBK" w:cs="Times New Roman" w:hint="eastAsia"/>
          <w:sz w:val="32"/>
          <w:szCs w:val="32"/>
        </w:rPr>
        <w:t>)</w:t>
      </w:r>
      <w:r>
        <w:rPr>
          <w:rFonts w:ascii="Times New Roman" w:eastAsia="方正仿宋_GBK" w:cs="Times New Roman" w:hAnsi="Times New Roman"/>
          <w:sz w:val="32"/>
          <w:szCs w:val="32"/>
        </w:rPr>
        <w:t>税政策，主管税务机关凭海关提供的与之对应的出口货物报关单电子数据审核办理试点企业申报的出口退</w:t>
      </w:r>
      <w:r>
        <w:rPr>
          <w:rFonts w:ascii="方正仿宋_GBK" w:eastAsia="方正仿宋_GBK" w:cs="Times New Roman" w:hint="eastAsia"/>
          <w:sz w:val="32"/>
          <w:szCs w:val="32"/>
        </w:rPr>
        <w:t>(</w:t>
      </w:r>
      <w:r>
        <w:rPr>
          <w:rFonts w:ascii="Times New Roman" w:eastAsia="方正仿宋_GBK" w:cs="Times New Roman" w:hAnsi="Times New Roman"/>
          <w:sz w:val="32"/>
          <w:szCs w:val="32"/>
        </w:rPr>
        <w:t>免</w:t>
      </w:r>
      <w:r>
        <w:rPr>
          <w:rFonts w:ascii="方正仿宋_GBK" w:eastAsia="方正仿宋_GBK" w:cs="Times New Roman" w:hint="eastAsia"/>
          <w:sz w:val="32"/>
          <w:szCs w:val="32"/>
        </w:rPr>
        <w:t>)</w:t>
      </w:r>
      <w:r>
        <w:rPr>
          <w:rFonts w:ascii="Times New Roman" w:eastAsia="方正仿宋_GBK" w:cs="Times New Roman" w:hAnsi="Times New Roman"/>
          <w:sz w:val="32"/>
          <w:szCs w:val="32"/>
        </w:rPr>
        <w:t>税。</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（一）离境出口的货物；</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（二）向海关特殊监管区域</w:t>
      </w:r>
      <w:r>
        <w:rPr>
          <w:rFonts w:ascii="方正仿宋_GBK" w:eastAsia="方正仿宋_GBK" w:cs="Times New Roman" w:hint="eastAsia"/>
          <w:sz w:val="32"/>
          <w:szCs w:val="32"/>
        </w:rPr>
        <w:t>(</w:t>
      </w:r>
      <w:r>
        <w:rPr>
          <w:rFonts w:ascii="Times New Roman" w:eastAsia="方正仿宋_GBK" w:cs="Times New Roman" w:hAnsi="Times New Roman"/>
          <w:sz w:val="32"/>
          <w:szCs w:val="32"/>
        </w:rPr>
        <w:t>试点区域、保税区除外</w:t>
      </w:r>
      <w:r>
        <w:rPr>
          <w:rFonts w:ascii="方正仿宋_GBK" w:eastAsia="方正仿宋_GBK" w:cs="Times New Roman" w:hint="eastAsia"/>
          <w:sz w:val="32"/>
          <w:szCs w:val="32"/>
        </w:rPr>
        <w:t>)</w:t>
      </w:r>
      <w:r>
        <w:rPr>
          <w:rFonts w:ascii="Times New Roman" w:eastAsia="方正仿宋_GBK" w:cs="Times New Roman" w:hAnsi="Times New Roman"/>
          <w:sz w:val="32"/>
          <w:szCs w:val="32"/>
        </w:rPr>
        <w:t>或海关保税监管场所</w:t>
      </w:r>
      <w:r>
        <w:rPr>
          <w:rFonts w:ascii="方正仿宋_GBK" w:eastAsia="方正仿宋_GBK" w:cs="Times New Roman" w:hint="eastAsia"/>
          <w:sz w:val="32"/>
          <w:szCs w:val="32"/>
        </w:rPr>
        <w:t>(</w:t>
      </w:r>
      <w:r>
        <w:rPr>
          <w:rFonts w:ascii="Times New Roman" w:eastAsia="方正仿宋_GBK" w:cs="Times New Roman" w:hAnsi="Times New Roman"/>
          <w:sz w:val="32"/>
          <w:szCs w:val="32"/>
        </w:rPr>
        <w:t>不具备退税功能的保税监管场所除外</w:t>
      </w:r>
      <w:r>
        <w:rPr>
          <w:rFonts w:ascii="方正仿宋_GBK" w:eastAsia="方正仿宋_GBK" w:cs="Times New Roman" w:hint="eastAsia"/>
          <w:sz w:val="32"/>
          <w:szCs w:val="32"/>
        </w:rPr>
        <w:t>)</w:t>
      </w:r>
      <w:r>
        <w:rPr>
          <w:rFonts w:ascii="Times New Roman" w:eastAsia="方正仿宋_GBK" w:cs="Times New Roman" w:hAnsi="Times New Roman"/>
          <w:sz w:val="32"/>
          <w:szCs w:val="32"/>
        </w:rPr>
        <w:t>销售的货物；</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（三）向试点区域内非试点企业销售的货物。</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第十三条  </w:t>
      </w:r>
      <w:r>
        <w:rPr>
          <w:rFonts w:ascii="Times New Roman" w:eastAsia="方正仿宋_GBK" w:cs="Times New Roman" w:hAnsi="Times New Roman"/>
          <w:sz w:val="32"/>
          <w:szCs w:val="32"/>
        </w:rPr>
        <w:t>未经加工的保税货物离境出口实行增值税、消费税免税政策。</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第十四条  </w:t>
      </w:r>
      <w:r>
        <w:rPr>
          <w:rFonts w:ascii="Times New Roman" w:eastAsia="方正仿宋_GBK" w:cs="Times New Roman" w:hAnsi="Times New Roman"/>
          <w:sz w:val="32"/>
          <w:szCs w:val="32"/>
        </w:rPr>
        <w:t>除财政部、海关总署、国家税务总局另有规定外，试点企业适用区外关税、增值税、消费税的法律、法规等现行规定。</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第十五条  </w:t>
      </w:r>
      <w:r>
        <w:rPr>
          <w:rFonts w:ascii="Times New Roman" w:eastAsia="方正仿宋_GBK" w:cs="Times New Roman" w:hAnsi="Times New Roman"/>
          <w:sz w:val="32"/>
          <w:szCs w:val="32"/>
        </w:rPr>
        <w:t>区外销售给试点企业的加工贸易货物，继续按现行税收政策执行；销售给试点企业的其他货物</w:t>
      </w:r>
      <w:r>
        <w:rPr>
          <w:rFonts w:ascii="方正仿宋_GBK" w:eastAsia="方正仿宋_GBK" w:cs="Times New Roman" w:hint="eastAsia"/>
          <w:sz w:val="32"/>
          <w:szCs w:val="32"/>
        </w:rPr>
        <w:t>(</w:t>
      </w:r>
      <w:r>
        <w:rPr>
          <w:rFonts w:ascii="Times New Roman" w:eastAsia="方正仿宋_GBK" w:cs="Times New Roman" w:hAnsi="Times New Roman"/>
          <w:sz w:val="32"/>
          <w:szCs w:val="32"/>
        </w:rPr>
        <w:t>包括水、蒸汽、电力、燃气</w:t>
      </w:r>
      <w:r>
        <w:rPr>
          <w:rFonts w:ascii="方正仿宋_GBK" w:eastAsia="方正仿宋_GBK" w:cs="Times New Roman" w:hint="eastAsia"/>
          <w:sz w:val="32"/>
          <w:szCs w:val="32"/>
        </w:rPr>
        <w:t>)</w:t>
      </w:r>
      <w:r>
        <w:rPr>
          <w:rFonts w:ascii="Times New Roman" w:eastAsia="方正仿宋_GBK" w:cs="Times New Roman" w:hAnsi="Times New Roman"/>
          <w:sz w:val="32"/>
          <w:szCs w:val="32"/>
        </w:rPr>
        <w:t>不再适用出口退税政策，按照规定缴纳增值税、消费税。</w:t>
      </w:r>
    </w:p>
    <w:p>
      <w:pPr>
        <w:spacing w:line="560" w:lineRule="exact"/>
        <w:ind w:left="0" w:firstLineChars="200" w:firstLine="640"/>
        <w:rPr>
          <w:rFonts w:ascii="Times New Roman" w:eastAsia="方正仿宋_GBK" w:cs="Times New Roman" w:hAnsi="Times New Roman"/>
          <w:sz w:val="32"/>
          <w:szCs w:val="32"/>
        </w:rPr>
      </w:pPr>
    </w:p>
    <w:p>
      <w:pPr>
        <w:pStyle w:val="17"/>
        <w:autoSpaceDN w:val="0"/>
        <w:spacing w:line="560" w:lineRule="exact"/>
        <w:ind w:firstLineChars="200" w:firstLine="640"/>
        <w:jc w:val="center"/>
        <w:rPr>
          <w:rFonts w:ascii="Times New Roman" w:eastAsia="方正黑体_GBK" w:cs="Times New Roman" w:hAnsi="Times New Roman"/>
          <w:sz w:val="32"/>
          <w:szCs w:val="32"/>
        </w:rPr>
      </w:pPr>
      <w:r>
        <w:rPr>
          <w:rFonts w:ascii="Times New Roman" w:eastAsia="方正黑体_GBK" w:cs="Times New Roman" w:hAnsi="Times New Roman"/>
          <w:sz w:val="32"/>
          <w:szCs w:val="32"/>
        </w:rPr>
        <w:t>第四章 自用设备管理</w:t>
      </w:r>
    </w:p>
    <w:p>
      <w:pPr>
        <w:pStyle w:val="17"/>
        <w:autoSpaceDN w:val="0"/>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第十六条  </w:t>
      </w:r>
      <w:r>
        <w:rPr>
          <w:rFonts w:ascii="Times New Roman" w:eastAsia="方正仿宋_GBK" w:cs="Times New Roman" w:hAnsi="Times New Roman"/>
          <w:sz w:val="32"/>
          <w:szCs w:val="32"/>
        </w:rPr>
        <w:t>对试点企业暂免进口税收的自用机器设备、基建物资和办公用品（以下简称</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自用设备</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），按照特殊区域设备账册（TD账册）管理。账册备案、变更、调整、暂停恢复、注销、查询统计等节点通过金二系统管理（管理路径：海关特殊监管区域 &gt; 物流账册管理）。</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 xml:space="preserve">第十七条  </w:t>
      </w:r>
      <w:r>
        <w:rPr>
          <w:rFonts w:ascii="Times New Roman" w:eastAsia="方正仿宋_GBK" w:cs="Times New Roman" w:hAnsi="Times New Roman"/>
          <w:sz w:val="32"/>
          <w:szCs w:val="32"/>
        </w:rPr>
        <w:t>试点企业自用设备年度暂免进口税收，在海关监管年限内，以上一年试点企业产品内外销的实际比例征收税款。外销比例部分执行区内税收政策，内销比例部分按照区外税收政策补征税款。其中，内销金额为企业向税务部门申报的增值税应税销售收入，外销金额包括离境出口的、向海关特殊监管区域（试点区域、保税区除外）或海关保税监管场所（不具备退税功能的保税监管场所除外）销售的和向试点区域内非试点企业销售的货物金额。</w:t>
      </w:r>
    </w:p>
    <w:p>
      <w:p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年度暂免进口税收=自用设备免征进口税收/海关监管年限。</w:t>
      </w:r>
    </w:p>
    <w:p>
      <w:pPr>
        <w:pStyle w:val="21"/>
        <w:spacing w:line="560" w:lineRule="exact"/>
        <w:ind w:left="0" w:firstLineChars="200" w:firstLine="640"/>
        <w:rPr>
          <w:bCs/>
          <w:color w:val="000000"/>
        </w:rPr>
      </w:pPr>
      <w:r>
        <w:rPr>
          <w:color w:val="000000"/>
        </w:rPr>
        <w:t>按内销比例补征税额=自用设备年度暂免进口税收</w:t>
      </w:r>
      <w:r>
        <w:rPr>
          <w:bCs/>
          <w:color w:val="000000"/>
        </w:rPr>
        <w:t>×</w:t>
      </w:r>
      <w:r>
        <w:rPr>
          <w:color w:val="000000"/>
        </w:rPr>
        <w:t>〔</w:t>
      </w:r>
      <w:r>
        <w:rPr>
          <w:bCs/>
          <w:color w:val="000000"/>
        </w:rPr>
        <w:t xml:space="preserve">内销金额/ </w:t>
      </w:r>
      <w:r>
        <w:rPr>
          <w:color w:val="000000"/>
        </w:rPr>
        <w:t>（</w:t>
      </w:r>
      <w:r>
        <w:rPr>
          <w:bCs/>
          <w:color w:val="000000"/>
        </w:rPr>
        <w:t>内销金额+外销金额）×100%〕</w:t>
      </w:r>
    </w:p>
    <w:p>
      <w:pPr>
        <w:pStyle w:val="21"/>
        <w:spacing w:line="560" w:lineRule="exact"/>
        <w:ind w:left="0" w:firstLineChars="200" w:firstLine="640"/>
      </w:pPr>
      <w:r>
        <w:rPr>
          <w:b/>
          <w:bCs/>
        </w:rPr>
        <w:t xml:space="preserve">第十八条  </w:t>
      </w:r>
      <w:r>
        <w:rPr>
          <w:color w:val="000000"/>
        </w:rPr>
        <w:t>试点企业应当在次年三月底前向主管海关主动申报上一年度货物内外销比例情况，</w:t>
      </w:r>
      <w:r>
        <w:t>主管海关依据当地税务部门提供的增值税应税销售收入复核内销金额，并以手工税单方式办理设备补税手续。</w:t>
      </w:r>
    </w:p>
    <w:p>
      <w:pPr>
        <w:spacing w:line="560" w:lineRule="exact"/>
        <w:ind w:left="0"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b/>
          <w:bCs/>
          <w:sz w:val="32"/>
          <w:szCs w:val="32"/>
        </w:rPr>
        <w:t xml:space="preserve">第十九条  </w:t>
      </w:r>
      <w:r>
        <w:rPr>
          <w:rFonts w:ascii="Times New Roman" w:eastAsia="方正仿宋_GBK" w:cs="Times New Roman" w:hAnsi="Times New Roman"/>
          <w:color w:val="000000"/>
          <w:sz w:val="32"/>
          <w:szCs w:val="32"/>
        </w:rPr>
        <w:t>试点企业间自用设备如在海关监管年限内转让的，剩余缴税义务由转入方承担；试点企业向非试点企业或区外企业转让的，按照现行规定办理。</w:t>
      </w:r>
    </w:p>
    <w:p>
      <w:pPr>
        <w:spacing w:line="560" w:lineRule="exact"/>
        <w:ind w:left="0" w:firstLineChars="200" w:firstLine="640"/>
        <w:rPr>
          <w:rFonts w:ascii="Times New Roman" w:eastAsia="方正仿宋_GBK" w:cs="Times New Roman" w:hAnsi="Times New Roman"/>
          <w:sz w:val="32"/>
          <w:szCs w:val="32"/>
        </w:rPr>
      </w:pPr>
    </w:p>
    <w:p>
      <w:pPr>
        <w:pStyle w:val="17"/>
        <w:autoSpaceDN w:val="0"/>
        <w:spacing w:line="560" w:lineRule="exact"/>
        <w:ind w:firstLineChars="200" w:firstLine="640"/>
        <w:jc w:val="center"/>
        <w:rPr>
          <w:rFonts w:ascii="Times New Roman" w:eastAsia="方正黑体_GBK" w:cs="Times New Roman" w:hAnsi="Times New Roman"/>
          <w:sz w:val="32"/>
          <w:szCs w:val="32"/>
        </w:rPr>
      </w:pPr>
      <w:r>
        <w:rPr>
          <w:rFonts w:ascii="Times New Roman" w:eastAsia="方正黑体_GBK" w:cs="Times New Roman" w:hAnsi="Times New Roman"/>
          <w:sz w:val="32"/>
          <w:szCs w:val="32"/>
        </w:rPr>
        <w:t>第五章 货物管理</w:t>
      </w:r>
    </w:p>
    <w:p>
      <w:pPr>
        <w:shd w:val="clear" w:color="auto" w:fill="FFFFFF"/>
        <w:spacing w:line="560" w:lineRule="exact"/>
        <w:ind w:left="0"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b/>
          <w:bCs/>
          <w:sz w:val="32"/>
          <w:szCs w:val="32"/>
        </w:rPr>
        <w:t xml:space="preserve">第二十条  </w:t>
      </w:r>
      <w:r>
        <w:rPr>
          <w:rFonts w:ascii="Times New Roman" w:eastAsia="方正仿宋_GBK" w:cs="Times New Roman" w:hAnsi="Times New Roman"/>
          <w:color w:val="000000"/>
          <w:sz w:val="32"/>
          <w:szCs w:val="32"/>
        </w:rPr>
        <w:t>区内试点企业进出货物分为保税货物和非保税货物，保税货物和非保税货物要分开存储、分开记账。</w:t>
      </w:r>
    </w:p>
    <w:p>
      <w:pPr>
        <w:shd w:val="clear" w:color="auto" w:fill="FFFFFF"/>
        <w:spacing w:line="560" w:lineRule="exact"/>
        <w:ind w:left="0"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b/>
          <w:bCs/>
          <w:sz w:val="32"/>
          <w:szCs w:val="32"/>
        </w:rPr>
        <w:t xml:space="preserve">第二十一条  </w:t>
      </w:r>
      <w:r>
        <w:rPr>
          <w:rFonts w:ascii="Times New Roman" w:eastAsia="方正仿宋_GBK" w:cs="Times New Roman" w:hAnsi="Times New Roman"/>
          <w:sz w:val="32"/>
          <w:szCs w:val="32"/>
        </w:rPr>
        <w:t>试点企业进出保税货物，按照特殊区域H账册管理。账册备案、变更、调整、暂停恢复、注销、核算核销、查询统计等节点通过金二系统管理（管理路径：海关特殊监管区域 &gt; 加工账册管理）。</w:t>
      </w:r>
    </w:p>
    <w:p>
      <w:pPr>
        <w:shd w:val="clear" w:color="auto" w:fill="FFFFFF"/>
        <w:spacing w:line="560" w:lineRule="exact"/>
        <w:ind w:left="0"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b/>
          <w:bCs/>
          <w:sz w:val="32"/>
          <w:szCs w:val="32"/>
        </w:rPr>
        <w:t>第二十二条</w:t>
      </w:r>
      <w:r>
        <w:rPr>
          <w:rFonts w:ascii="Times New Roman" w:eastAsia="方正仿宋_GBK" w:cs="Times New Roman" w:hAnsi="Times New Roman"/>
          <w:color w:val="000000"/>
          <w:sz w:val="32"/>
          <w:szCs w:val="32"/>
        </w:rPr>
        <w:t xml:space="preserve">  试点企业进出非保税货物不实施账册管理，不采用报关单、备案清单方式办理进出区手续，由主管海关自行确定，报乌鲁木齐海关职能管理部门备案。</w:t>
      </w:r>
    </w:p>
    <w:p>
      <w:pPr>
        <w:spacing w:line="560" w:lineRule="exact"/>
        <w:ind w:left="0"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b/>
          <w:bCs/>
          <w:sz w:val="32"/>
          <w:szCs w:val="32"/>
        </w:rPr>
        <w:t xml:space="preserve">第二十三条  </w:t>
      </w:r>
      <w:r>
        <w:rPr>
          <w:rFonts w:ascii="Times New Roman" w:eastAsia="方正仿宋_GBK" w:cs="Times New Roman" w:hAnsi="Times New Roman"/>
          <w:color w:val="000000"/>
          <w:sz w:val="32"/>
          <w:szCs w:val="32"/>
        </w:rPr>
        <w:t>试点企业自行管理非保税货物，如实记录非保税货物进、出、转、存情况，并留存三年。</w:t>
      </w:r>
    </w:p>
    <w:p>
      <w:pPr>
        <w:spacing w:line="560" w:lineRule="exact"/>
        <w:ind w:left="0"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b/>
          <w:bCs/>
          <w:sz w:val="32"/>
          <w:szCs w:val="32"/>
        </w:rPr>
        <w:t xml:space="preserve">第二十四条  </w:t>
      </w:r>
      <w:r>
        <w:rPr>
          <w:rFonts w:ascii="Times New Roman" w:eastAsia="方正仿宋_GBK" w:cs="Times New Roman" w:hAnsi="Times New Roman"/>
          <w:color w:val="000000"/>
          <w:sz w:val="32"/>
          <w:szCs w:val="32"/>
        </w:rPr>
        <w:t>海关依法对企业与保税货物有关的货物流、资金流和信息流等开展稽核查。</w:t>
      </w:r>
    </w:p>
    <w:p>
      <w:pPr>
        <w:spacing w:line="560" w:lineRule="exact"/>
        <w:ind w:left="0" w:firstLineChars="200" w:firstLine="640"/>
        <w:rPr>
          <w:rFonts w:ascii="Times New Roman" w:eastAsia="方正仿宋_GBK" w:cs="Times New Roman" w:hAnsi="Times New Roman"/>
          <w:color w:val="000000"/>
          <w:sz w:val="32"/>
          <w:szCs w:val="32"/>
        </w:rPr>
      </w:pPr>
    </w:p>
    <w:p>
      <w:pPr>
        <w:pStyle w:val="17"/>
        <w:autoSpaceDN w:val="0"/>
        <w:spacing w:line="560" w:lineRule="exact"/>
        <w:ind w:firstLineChars="200" w:firstLine="640"/>
        <w:jc w:val="center"/>
        <w:rPr>
          <w:rFonts w:ascii="Times New Roman" w:eastAsia="方正黑体_GBK" w:cs="Times New Roman" w:hAnsi="Times New Roman"/>
          <w:sz w:val="32"/>
          <w:szCs w:val="32"/>
        </w:rPr>
      </w:pPr>
      <w:r>
        <w:rPr>
          <w:rFonts w:ascii="Times New Roman" w:eastAsia="方正黑体_GBK" w:cs="Times New Roman" w:hAnsi="Times New Roman"/>
          <w:sz w:val="32"/>
          <w:szCs w:val="32"/>
        </w:rPr>
        <w:t>第六章 附则</w:t>
      </w:r>
    </w:p>
    <w:p>
      <w:pPr>
        <w:spacing w:line="560" w:lineRule="exact"/>
        <w:ind w:left="0"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
          <w:bCs/>
          <w:sz w:val="32"/>
          <w:szCs w:val="32"/>
        </w:rPr>
        <w:t xml:space="preserve">第二十五条  </w:t>
      </w:r>
      <w:r>
        <w:rPr>
          <w:rFonts w:ascii="Times New Roman" w:eastAsia="方正仿宋_GBK" w:cs="Times New Roman" w:hAnsi="Times New Roman"/>
          <w:bCs/>
          <w:sz w:val="32"/>
          <w:szCs w:val="32"/>
        </w:rPr>
        <w:t>企业有下列情形之一的，海关应当要求试点企业整改，并可视情暂停一般纳税人企业专用电子账册。整改后，海关可恢复试点企业相关业务：</w:t>
      </w:r>
    </w:p>
    <w:p>
      <w:pPr>
        <w:spacing w:line="560" w:lineRule="exact"/>
        <w:ind w:left="0"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（一）企业涉嫌走私被海关立案调查的；</w:t>
      </w:r>
    </w:p>
    <w:p>
      <w:pPr>
        <w:spacing w:line="560" w:lineRule="exact"/>
        <w:ind w:left="0"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（二）企业货物进出区多次发生单货不符的；</w:t>
      </w:r>
    </w:p>
    <w:p>
      <w:pPr>
        <w:spacing w:line="560" w:lineRule="exact"/>
        <w:ind w:left="0"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（三）企业未在规定时间内向海关办理自用设备补税手续的；</w:t>
      </w:r>
    </w:p>
    <w:p>
      <w:pPr>
        <w:spacing w:line="560" w:lineRule="exact"/>
        <w:ind w:left="0"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（四）海关发现企业不符合本监管细则第二章第五条规定的。</w:t>
      </w:r>
    </w:p>
    <w:p>
      <w:pPr>
        <w:spacing w:line="560" w:lineRule="exact"/>
        <w:ind w:left="0"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
          <w:bCs/>
          <w:sz w:val="32"/>
          <w:szCs w:val="32"/>
        </w:rPr>
        <w:t xml:space="preserve">第二十六条  </w:t>
      </w:r>
      <w:r>
        <w:rPr>
          <w:rFonts w:ascii="Times New Roman" w:eastAsia="方正仿宋_GBK" w:cs="Times New Roman" w:hAnsi="Times New Roman"/>
          <w:bCs/>
          <w:sz w:val="32"/>
          <w:szCs w:val="32"/>
        </w:rPr>
        <w:t>本细则未明确事宜，按照现行规定办理。细则内容涉及金二系统，如遇署级参数、内容、节点或流程调整，及时报备乌鲁木齐海关职能管理部门，并以调整后系统为准。</w:t>
      </w:r>
    </w:p>
    <w:p>
      <w:pPr>
        <w:spacing w:line="560" w:lineRule="exact"/>
        <w:ind w:left="0"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
          <w:bCs/>
          <w:sz w:val="32"/>
          <w:szCs w:val="32"/>
        </w:rPr>
        <w:t xml:space="preserve">第二十七条  </w:t>
      </w:r>
      <w:r>
        <w:rPr>
          <w:rFonts w:ascii="Times New Roman" w:eastAsia="方正仿宋_GBK" w:cs="Times New Roman" w:hAnsi="Times New Roman"/>
          <w:bCs/>
          <w:sz w:val="32"/>
          <w:szCs w:val="32"/>
        </w:rPr>
        <w:t>本细则自印发之日起施行。</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 w:name="Courier New">
    <w:panose1 w:val="02070309020205020404"/>
    <w:charset w:val="00"/>
    <w:family w:val="modern"/>
    <w:pitch w:val="variable"/>
    <w:sig w:usb0="E0002AFF" w:usb1="C0007843"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character" w:customStyle="1" w:styleId="15">
    <w:name w:val="h-control-text-title1"/>
    <w:basedOn w:val="10"/>
    <w:rPr>
      <w:rFonts w:ascii="宋体" w:eastAsia="宋体"/>
      <w:b/>
      <w:bCs/>
      <w:vanish w:val="0"/>
      <w:sz w:val="12"/>
      <w:szCs w:val="12"/>
      <w:bdr w:val="none" w:sz="0" w:space="0" w:color="auto"/>
      <w:shd w:val="clear" w:color="auto" w:fill="F5F5F5"/>
    </w:rPr>
  </w:style>
  <w:style w:type="character" w:customStyle="1" w:styleId="16">
    <w:name w:val="labelstyle4"/>
    <w:basedOn w:val="10"/>
  </w:style>
  <w:style w:type="paragraph" w:styleId="17">
    <w:name w:val="Plain Text"/>
    <w:basedOn w:val="0"/>
    <w:rPr>
      <w:rFonts w:ascii="宋体" w:eastAsia="宋体" w:cs="Courier New"/>
      <w:szCs w:val="21"/>
    </w:rPr>
  </w:style>
  <w:style w:type="character" w:customStyle="1" w:styleId="18">
    <w:name w:val="pta-glf-headnav-bg"/>
    <w:basedOn w:val="10"/>
  </w:style>
  <w:style w:type="character" w:customStyle="1" w:styleId="19">
    <w:name w:val="apple-converted-space"/>
    <w:basedOn w:val="10"/>
  </w:style>
  <w:style w:type="paragraph" w:styleId="20">
    <w:name w:val="Balloon Text"/>
    <w:basedOn w:val="0"/>
    <w:rPr>
      <w:rFonts w:ascii="Times New Roman" w:eastAsia="方正仿宋_GBK" w:cs="Times New Roman" w:hAnsi="Times New Roman"/>
      <w:sz w:val="18"/>
      <w:szCs w:val="18"/>
    </w:rPr>
  </w:style>
  <w:style w:type="paragraph" w:customStyle="1" w:styleId="21">
    <w:name w:val="正文17"/>
    <w:pPr>
      <w:widowControl w:val="0"/>
      <w:jc w:val="both"/>
    </w:pPr>
    <w:rPr>
      <w:rFonts w:ascii="Times New Roman" w:eastAsia="方正仿宋_GBK" w:cs="Times New Roman" w:hAnsi="Times New Roman"/>
      <w:kern w:val="2"/>
      <w:sz w:val="32"/>
      <w:szCs w:val="32"/>
      <w:lang w:val="en-US" w:eastAsia="zh-CN" w:bidi="ar-SA"/>
    </w:rPr>
  </w:style>
  <w:style w:type="paragraph" w:styleId="22">
    <w:name w:val="header"/>
    <w:basedOn w:val="0"/>
    <w:pPr>
      <w:pBdr>
        <w:bottom w:val="single" w:sz="6" w:space="1" w:color="auto"/>
      </w:pBdr>
      <w:tabs>
        <w:tab w:val="center" w:pos="4153"/>
        <w:tab w:val="right" w:pos="8306"/>
      </w:tabs>
      <w:snapToGrid w:val="0"/>
      <w:jc w:val="center"/>
    </w:pPr>
    <w:rPr>
      <w:sz w:val="18"/>
      <w:szCs w:val="18"/>
    </w:rPr>
  </w:style>
  <w:style w:type="paragraph" w:styleId="23">
    <w:name w:val="footer"/>
    <w:basedOn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588</TotalTime>
  <Application>Yozo_Office</Application>
  <Pages>7</Pages>
  <Words>3049</Words>
  <Characters>3061</Characters>
  <Lines>161</Lines>
  <Paragraphs>64</Paragraphs>
  <CharactersWithSpaces>3138</CharactersWithSpaces>
  <Company>zhengzhou</Company>
</Properties>
</file>

<file path=docProps/core.xml><?xml version="1.0" encoding="utf-8"?>
<cp:coreProperties xmlns:cp="http://schemas.openxmlformats.org/package/2006/metadata/core-properties" xmlns:dc="http://purl.org/dc/elements/1.1/" xmlns:dcterms="http://purl.org/dc/terms/" xmlns:xsi="http://www.w3.org/2001/XMLSchema-instance">
  <dc:creator>潘浩</dc:creator>
  <cp:lastModifiedBy>马金虎</cp:lastModifiedBy>
  <cp:revision>7</cp:revision>
  <cp:lastPrinted>2020-01-07T03:35:00Z</cp:lastPrinted>
  <dcterms:created xsi:type="dcterms:W3CDTF">2020-01-06T02:11:00Z</dcterms:created>
  <dcterms:modified xsi:type="dcterms:W3CDTF">2020-03-19T03:31:13Z</dcterms:modified>
</cp:coreProperties>
</file>