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left"/>
        <w:rPr>
          <w:rFonts w:ascii="方正黑体_GBK" w:eastAsia="方正黑体_GBK" w:cs="方正黑体_GBK" w:hint="eastAsia"/>
          <w:sz w:val="32"/>
          <w:szCs w:val="32"/>
          <w:lang w:bidi="ar-SA"/>
          <w:highlight w:val="auto"/>
        </w:rPr>
      </w:pPr>
      <w:r>
        <w:rPr>
          <w:rFonts w:ascii="方正黑体_GBK" w:eastAsia="方正黑体_GBK" w:cs="方正黑体_GBK" w:hint="eastAsia"/>
          <w:sz w:val="32"/>
          <w:szCs w:val="32"/>
          <w:lang w:bidi="ar-SA"/>
          <w:highlight w:val="auto"/>
        </w:rPr>
        <w:t>附件</w:t>
      </w:r>
      <w:r>
        <w:rPr>
          <w:rFonts w:eastAsia="方正黑体_GBK"/>
          <w:sz w:val="32"/>
          <w:szCs w:val="32"/>
          <w:highlight w:val="auto"/>
        </w:rPr>
        <w:t>2</w:t>
      </w:r>
    </w:p>
    <w:p>
      <w:pPr>
        <w:jc w:val="center"/>
        <w:rPr>
          <w:rFonts w:hint="eastAsia"/>
          <w:sz w:val="48"/>
          <w:szCs w:val="48"/>
          <w:highlight w:val="auto"/>
        </w:rPr>
      </w:pPr>
      <w:r>
        <w:rPr>
          <w:rFonts w:hint="eastAsia"/>
          <w:sz w:val="48"/>
          <w:szCs w:val="48"/>
          <w:highlight w:val="auto"/>
        </w:rPr>
        <w:t xml:space="preserve">                 </w:t>
      </w:r>
      <w:r>
        <w:rPr>
          <w:color w:val="000000"/>
          <w:sz w:val="48"/>
          <w:szCs w:val="48"/>
          <w:highlight w:val="auto"/>
        </w:rPr>
        <w:drawing>
          <wp:inline distT="0" distB="0" distL="114300" distR="114300">
            <wp:extent cx="3061970" cy="3061970"/>
            <wp:effectExtent l="0" t="0" r="15" b="15"/>
            <wp:docPr id="4" name="图片 1" descr="5406424241713530803024.png"/>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61970" cy="3061970"/>
                    </a:xfrm>
                    <a:prstGeom prst="rect"/>
                    <a:solidFill>
                      <a:srgbClr val="FFFFFF"/>
                    </a:solidFill>
                    <a:ln w="9525" cmpd="sng" cap="flat">
                      <a:noFill/>
                      <a:prstDash val="solid"/>
                      <a:round/>
                    </a:ln>
                  </pic:spPr>
                </pic:pic>
              </a:graphicData>
            </a:graphic>
          </wp:inline>
        </w:drawing>
      </w:r>
    </w:p>
    <w:p>
      <w:pPr>
        <w:jc w:val="center"/>
        <w:rPr>
          <w:rFonts w:hint="eastAsia"/>
          <w:sz w:val="48"/>
          <w:szCs w:val="48"/>
          <w:highlight w:val="auto"/>
        </w:rPr>
      </w:pPr>
      <w:r>
        <w:rPr>
          <w:rFonts w:hint="eastAsia"/>
          <w:sz w:val="48"/>
          <w:szCs w:val="48"/>
          <w:highlight w:val="auto"/>
        </w:rPr>
        <w:t xml:space="preserve">                   </w:t>
      </w:r>
    </w:p>
    <w:p>
      <w:pPr>
        <w:jc w:val="center"/>
        <w:rPr>
          <w:rFonts w:hint="eastAsia"/>
          <w:sz w:val="84"/>
          <w:szCs w:val="84"/>
          <w:highlight w:val="auto"/>
        </w:rPr>
      </w:pPr>
      <w:r>
        <w:rPr>
          <w:rFonts w:hint="eastAsia"/>
          <w:b/>
          <w:sz w:val="84"/>
          <w:szCs w:val="84"/>
        </w:rPr>
        <w:t>海关</w:t>
      </w:r>
      <w:r>
        <w:rPr>
          <w:rFonts w:hint="eastAsia"/>
          <w:b/>
          <w:sz w:val="84"/>
          <w:szCs w:val="84"/>
          <w:lang w:eastAsia="zh-CN"/>
        </w:rPr>
        <w:t>总署乌鲁木齐教育培训基</w:t>
      </w:r>
      <w:r>
        <w:rPr>
          <w:b/>
          <w:sz w:val="84"/>
          <w:szCs w:val="84"/>
          <w:lang w:eastAsia="zh-CN"/>
        </w:rPr>
        <w:t>地</w:t>
      </w:r>
      <w:r>
        <w:rPr>
          <w:rFonts w:hint="eastAsia"/>
          <w:b/>
          <w:bCs/>
          <w:sz w:val="84"/>
          <w:szCs w:val="84"/>
        </w:rPr>
        <w:t>部门</w:t>
      </w:r>
      <w:r>
        <w:rPr>
          <w:rFonts w:hint="eastAsia"/>
          <w:b/>
          <w:bCs/>
          <w:sz w:val="84"/>
          <w:szCs w:val="84"/>
          <w:highlight w:val="auto"/>
        </w:rPr>
        <w:t>预算</w:t>
      </w:r>
    </w:p>
    <w:p>
      <w:pPr>
        <w:jc w:val="center"/>
        <w:rPr>
          <w:rFonts w:hint="eastAsia"/>
          <w:sz w:val="44"/>
          <w:szCs w:val="44"/>
          <w:highlight w:val="auto"/>
        </w:rPr>
      </w:pPr>
      <w:r>
        <w:rPr>
          <w:rFonts w:hint="eastAsia"/>
          <w:sz w:val="44"/>
          <w:szCs w:val="44"/>
          <w:highlight w:val="auto"/>
        </w:rPr>
        <w:t>202</w:t>
      </w:r>
      <w:r>
        <w:rPr>
          <w:sz w:val="44"/>
          <w:szCs w:val="44"/>
          <w:lang w:val="en-US" w:eastAsia="zh-CN"/>
          <w:highlight w:val="auto"/>
        </w:rPr>
        <w:t>5</w:t>
      </w:r>
      <w:r>
        <w:rPr>
          <w:rFonts w:hint="eastAsia"/>
          <w:sz w:val="44"/>
          <w:szCs w:val="44"/>
          <w:highlight w:val="auto"/>
        </w:rPr>
        <w:t>年</w:t>
      </w: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b/>
          <w:sz w:val="44"/>
          <w:szCs w:val="44"/>
          <w:highlight w:val="auto"/>
        </w:rPr>
      </w:pPr>
    </w:p>
    <w:p>
      <w:pPr>
        <w:jc w:val="center"/>
        <w:rPr>
          <w:b/>
          <w:sz w:val="84"/>
          <w:szCs w:val="84"/>
          <w:highlight w:val="auto"/>
        </w:rPr>
      </w:pPr>
      <w:r>
        <w:rPr>
          <w:rFonts w:hint="eastAsia"/>
          <w:b/>
          <w:sz w:val="84"/>
          <w:szCs w:val="84"/>
          <w:highlight w:val="auto"/>
        </w:rPr>
        <w:t>目</w:t>
      </w:r>
      <w:r>
        <w:rPr>
          <w:b/>
          <w:sz w:val="84"/>
          <w:szCs w:val="84"/>
          <w:highlight w:val="auto"/>
        </w:rPr>
        <w:t xml:space="preserve">  </w:t>
      </w:r>
      <w:r>
        <w:rPr>
          <w:rFonts w:hint="eastAsia"/>
          <w:b/>
          <w:sz w:val="84"/>
          <w:szCs w:val="84"/>
          <w:highlight w:val="auto"/>
        </w:rPr>
        <w:t>录</w:t>
      </w:r>
    </w:p>
    <w:p>
      <w:pPr>
        <w:jc w:val="center"/>
        <w:rPr>
          <w:b/>
          <w:sz w:val="84"/>
          <w:szCs w:val="84"/>
          <w:highlight w:val="auto"/>
        </w:rPr>
      </w:pPr>
    </w:p>
    <w:p>
      <w:pPr>
        <w:rPr>
          <w:b/>
          <w:sz w:val="44"/>
          <w:szCs w:val="44"/>
        </w:rPr>
      </w:pPr>
      <w:r>
        <w:rPr>
          <w:rFonts w:hint="eastAsia"/>
          <w:b/>
          <w:sz w:val="44"/>
          <w:szCs w:val="44"/>
        </w:rPr>
        <w:t>第一部分  海关总署乌鲁木齐教育培训基</w:t>
      </w:r>
      <w:r>
        <w:rPr>
          <w:b/>
          <w:sz w:val="44"/>
          <w:szCs w:val="44"/>
        </w:rPr>
        <w:t>地</w:t>
      </w:r>
      <w:r>
        <w:rPr>
          <w:rFonts w:hint="eastAsia"/>
          <w:b/>
          <w:sz w:val="44"/>
          <w:szCs w:val="44"/>
        </w:rPr>
        <w:t>概况</w:t>
      </w:r>
    </w:p>
    <w:p>
      <w:pPr>
        <w:rPr>
          <w:rFonts w:hint="eastAsia"/>
          <w:sz w:val="36"/>
          <w:szCs w:val="36"/>
        </w:rPr>
      </w:pPr>
      <w:r>
        <w:rPr>
          <w:rFonts w:hint="eastAsia"/>
          <w:sz w:val="36"/>
          <w:szCs w:val="36"/>
        </w:rPr>
        <w:t>一、主要职能</w:t>
      </w:r>
    </w:p>
    <w:p>
      <w:pPr>
        <w:rPr>
          <w:rFonts w:hint="eastAsia"/>
          <w:sz w:val="36"/>
          <w:szCs w:val="36"/>
        </w:rPr>
      </w:pPr>
      <w:r>
        <w:rPr>
          <w:rFonts w:ascii="宋体" w:hint="eastAsia"/>
          <w:sz w:val="36"/>
          <w:szCs w:val="36"/>
        </w:rPr>
        <w:t>二、海关系统单位构成情况</w:t>
      </w:r>
    </w:p>
    <w:p>
      <w:pPr>
        <w:rPr>
          <w:b/>
          <w:sz w:val="44"/>
          <w:szCs w:val="44"/>
        </w:rPr>
      </w:pPr>
      <w:r>
        <w:rPr>
          <w:rFonts w:hint="eastAsia"/>
          <w:b/>
          <w:sz w:val="44"/>
          <w:szCs w:val="44"/>
        </w:rPr>
        <w:t>第二部分  海关总署乌鲁木齐教育培训基</w:t>
      </w:r>
      <w:r>
        <w:rPr>
          <w:b/>
          <w:sz w:val="44"/>
          <w:szCs w:val="44"/>
        </w:rPr>
        <w:t>地202</w:t>
      </w:r>
      <w:r>
        <w:rPr>
          <w:b/>
          <w:sz w:val="44"/>
          <w:szCs w:val="44"/>
          <w:lang w:val="en-US" w:eastAsia="zh-CN"/>
        </w:rPr>
        <w:t>5</w:t>
      </w:r>
      <w:r>
        <w:rPr>
          <w:rFonts w:hint="eastAsia"/>
          <w:b/>
          <w:sz w:val="44"/>
          <w:szCs w:val="44"/>
        </w:rPr>
        <w:t>年部门预算表</w:t>
      </w:r>
    </w:p>
    <w:p>
      <w:pPr>
        <w:rPr>
          <w:color w:val="3366FF"/>
          <w:sz w:val="36"/>
          <w:szCs w:val="36"/>
          <w:highlight w:val="auto"/>
        </w:rPr>
      </w:pPr>
      <w:r>
        <w:rPr>
          <w:rFonts w:hint="eastAsia"/>
          <w:sz w:val="36"/>
          <w:szCs w:val="36"/>
          <w:highlight w:val="auto"/>
        </w:rPr>
        <w:t>一、</w:t>
      </w:r>
      <w:r>
        <w:rPr>
          <w:sz w:val="36"/>
          <w:szCs w:val="36"/>
          <w:highlight w:val="auto"/>
        </w:rPr>
        <w:t>部门</w:t>
      </w:r>
      <w:r>
        <w:rPr>
          <w:rFonts w:hint="eastAsia"/>
          <w:sz w:val="36"/>
          <w:szCs w:val="36"/>
          <w:highlight w:val="auto"/>
        </w:rPr>
        <w:t>收支总表</w:t>
      </w:r>
    </w:p>
    <w:p>
      <w:pPr>
        <w:pStyle w:val="16"/>
        <w:rPr>
          <w:sz w:val="36"/>
          <w:szCs w:val="36"/>
          <w:highlight w:val="auto"/>
        </w:rPr>
      </w:pPr>
      <w:r>
        <w:rPr>
          <w:rFonts w:hint="eastAsia"/>
          <w:sz w:val="36"/>
          <w:szCs w:val="36"/>
          <w:highlight w:val="auto"/>
        </w:rPr>
        <w:t>二、部门收入总表</w:t>
      </w:r>
    </w:p>
    <w:p>
      <w:pPr>
        <w:pStyle w:val="17"/>
        <w:rPr>
          <w:sz w:val="36"/>
          <w:szCs w:val="36"/>
          <w:highlight w:val="auto"/>
        </w:rPr>
      </w:pPr>
      <w:r>
        <w:rPr>
          <w:rFonts w:hint="eastAsia"/>
          <w:sz w:val="36"/>
          <w:szCs w:val="36"/>
          <w:highlight w:val="auto"/>
        </w:rPr>
        <w:t>三、部门支出总表</w:t>
      </w:r>
    </w:p>
    <w:p>
      <w:pPr>
        <w:rPr>
          <w:sz w:val="36"/>
          <w:szCs w:val="36"/>
          <w:highlight w:val="auto"/>
        </w:rPr>
      </w:pPr>
      <w:r>
        <w:rPr>
          <w:rFonts w:hint="eastAsia"/>
          <w:sz w:val="36"/>
          <w:szCs w:val="36"/>
          <w:highlight w:val="auto"/>
        </w:rPr>
        <w:t>四、</w:t>
      </w:r>
      <w:r>
        <w:rPr>
          <w:sz w:val="36"/>
          <w:szCs w:val="36"/>
          <w:highlight w:val="auto"/>
        </w:rPr>
        <w:t>财政拨款收支总表</w:t>
      </w:r>
    </w:p>
    <w:p>
      <w:pPr>
        <w:rPr>
          <w:sz w:val="36"/>
          <w:szCs w:val="36"/>
          <w:highlight w:val="auto"/>
        </w:rPr>
      </w:pPr>
      <w:r>
        <w:rPr>
          <w:rFonts w:hint="eastAsia"/>
          <w:sz w:val="36"/>
          <w:szCs w:val="36"/>
          <w:highlight w:val="auto"/>
        </w:rPr>
        <w:t>五、</w:t>
      </w:r>
      <w:r>
        <w:rPr>
          <w:sz w:val="36"/>
          <w:szCs w:val="36"/>
          <w:highlight w:val="auto"/>
        </w:rPr>
        <w:t>一般公共预算支出表</w:t>
      </w:r>
    </w:p>
    <w:p>
      <w:pPr>
        <w:rPr>
          <w:color w:val="339966"/>
          <w:sz w:val="36"/>
          <w:szCs w:val="36"/>
          <w:highlight w:val="auto"/>
        </w:rPr>
      </w:pPr>
      <w:r>
        <w:rPr>
          <w:rFonts w:hint="eastAsia"/>
          <w:sz w:val="36"/>
          <w:szCs w:val="36"/>
          <w:highlight w:val="auto"/>
        </w:rPr>
        <w:t>六、</w:t>
      </w:r>
      <w:r>
        <w:rPr>
          <w:sz w:val="36"/>
          <w:szCs w:val="36"/>
          <w:highlight w:val="auto"/>
        </w:rPr>
        <w:t>一般公共预算基本支出表</w:t>
      </w:r>
    </w:p>
    <w:p>
      <w:pPr>
        <w:rPr>
          <w:sz w:val="36"/>
          <w:szCs w:val="36"/>
          <w:highlight w:val="auto"/>
        </w:rPr>
      </w:pPr>
      <w:r>
        <w:rPr>
          <w:rFonts w:hint="eastAsia"/>
          <w:sz w:val="36"/>
          <w:szCs w:val="36"/>
          <w:lang w:eastAsia="zh-CN"/>
          <w:highlight w:val="auto"/>
        </w:rPr>
        <w:t>七</w:t>
      </w:r>
      <w:r>
        <w:rPr>
          <w:rFonts w:hint="eastAsia"/>
          <w:sz w:val="36"/>
          <w:szCs w:val="36"/>
          <w:highlight w:val="auto"/>
        </w:rPr>
        <w:t>、</w:t>
      </w:r>
      <w:r>
        <w:rPr>
          <w:sz w:val="36"/>
          <w:szCs w:val="36"/>
          <w:highlight w:val="auto"/>
        </w:rPr>
        <w:t>政府性基金预算支出表</w:t>
      </w:r>
    </w:p>
    <w:p>
      <w:pPr>
        <w:rPr>
          <w:sz w:val="36"/>
          <w:szCs w:val="36"/>
        </w:rPr>
      </w:pPr>
      <w:r>
        <w:rPr>
          <w:rFonts w:hint="eastAsia"/>
          <w:sz w:val="36"/>
          <w:szCs w:val="36"/>
          <w:lang w:eastAsia="zh-CN"/>
          <w:highlight w:val="auto"/>
        </w:rPr>
        <w:t>八</w:t>
      </w:r>
      <w:r>
        <w:rPr>
          <w:sz w:val="36"/>
          <w:szCs w:val="36"/>
          <w:highlight w:val="auto"/>
        </w:rPr>
        <w:t>、国有资</w:t>
      </w:r>
      <w:r>
        <w:rPr>
          <w:sz w:val="36"/>
          <w:szCs w:val="36"/>
        </w:rPr>
        <w:t>本经营预算支出表</w:t>
      </w:r>
    </w:p>
    <w:p>
      <w:pPr>
        <w:rPr>
          <w:sz w:val="36"/>
          <w:szCs w:val="36"/>
        </w:rPr>
      </w:pPr>
      <w:r>
        <w:rPr>
          <w:rFonts w:hint="eastAsia"/>
          <w:sz w:val="36"/>
          <w:szCs w:val="36"/>
          <w:lang w:eastAsia="zh-CN"/>
        </w:rPr>
        <w:t>九</w:t>
      </w:r>
      <w:r>
        <w:rPr>
          <w:rFonts w:hint="eastAsia"/>
          <w:sz w:val="36"/>
          <w:szCs w:val="36"/>
        </w:rPr>
        <w:t>、</w:t>
      </w:r>
      <w:r>
        <w:rPr>
          <w:rFonts w:cs="宋体" w:hint="eastAsia"/>
          <w:sz w:val="36"/>
          <w:szCs w:val="36"/>
          <w:lang w:bidi="ar-SA"/>
        </w:rPr>
        <w:t>财政拨款预算“三公”经费支出表</w:t>
      </w:r>
    </w:p>
    <w:p>
      <w:pPr>
        <w:ind w:left="2164" w:hangingChars="492" w:hanging="2164"/>
        <w:rPr>
          <w:b/>
          <w:sz w:val="44"/>
          <w:szCs w:val="44"/>
        </w:rPr>
      </w:pPr>
      <w:r>
        <w:rPr>
          <w:rFonts w:hint="eastAsia"/>
          <w:b/>
          <w:sz w:val="44"/>
          <w:szCs w:val="44"/>
        </w:rPr>
        <w:t>第三部分  海关总署乌鲁木齐教育培训基</w:t>
      </w:r>
      <w:r>
        <w:rPr>
          <w:b/>
          <w:sz w:val="44"/>
          <w:szCs w:val="44"/>
        </w:rPr>
        <w:t>地202</w:t>
      </w:r>
      <w:r>
        <w:rPr>
          <w:b/>
          <w:sz w:val="44"/>
          <w:szCs w:val="44"/>
          <w:lang w:val="en-US" w:eastAsia="zh-CN"/>
        </w:rPr>
        <w:t>5</w:t>
      </w:r>
      <w:r>
        <w:rPr>
          <w:rFonts w:hint="eastAsia"/>
          <w:b/>
          <w:sz w:val="44"/>
          <w:szCs w:val="44"/>
        </w:rPr>
        <w:t>年部门预算情况说明</w:t>
      </w:r>
    </w:p>
    <w:p>
      <w:pPr>
        <w:rPr>
          <w:rFonts w:hint="eastAsia"/>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highlight w:val="auto"/>
        </w:rPr>
        <w:sectPr>
          <w:footerReference w:type="default" r:id="rId2"/>
          <w:pgSz w:w="11906" w:h="16838"/>
          <w:pgMar w:top="1440" w:right="1797" w:bottom="1440" w:left="1797" w:header="851" w:footer="992" w:gutter="0"/>
          <w:docGrid w:type="linesAndChars" w:linePitch="312" w:charSpace="0"/>
        </w:sect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jc w:val="center"/>
        <w:rPr>
          <w:b/>
          <w:sz w:val="84"/>
          <w:szCs w:val="84"/>
          <w:highlight w:val="auto"/>
        </w:rPr>
      </w:pPr>
      <w:r>
        <w:rPr>
          <w:rFonts w:hint="eastAsia"/>
          <w:b/>
          <w:sz w:val="84"/>
          <w:szCs w:val="84"/>
          <w:highlight w:val="auto"/>
        </w:rPr>
        <w:t>第一部分</w:t>
      </w:r>
    </w:p>
    <w:p>
      <w:pPr>
        <w:jc w:val="center"/>
        <w:rPr>
          <w:b/>
          <w:sz w:val="84"/>
          <w:szCs w:val="84"/>
          <w:highlight w:val="auto"/>
        </w:rPr>
      </w:pPr>
      <w:r>
        <w:rPr>
          <w:rFonts w:hint="eastAsia"/>
          <w:b/>
          <w:sz w:val="84"/>
          <w:szCs w:val="84"/>
          <w:highlight w:val="auto"/>
        </w:rPr>
        <w:t>海关</w:t>
      </w:r>
      <w:r>
        <w:rPr>
          <w:rFonts w:hint="eastAsia"/>
          <w:b/>
          <w:sz w:val="84"/>
          <w:szCs w:val="84"/>
          <w:lang w:eastAsia="zh-CN"/>
          <w:highlight w:val="auto"/>
        </w:rPr>
        <w:t>总署乌鲁木齐教育培训基地</w:t>
      </w:r>
      <w:r>
        <w:rPr>
          <w:rFonts w:hint="eastAsia"/>
          <w:b/>
          <w:sz w:val="84"/>
          <w:szCs w:val="84"/>
          <w:highlight w:val="auto"/>
        </w:rPr>
        <w:t>概况</w:t>
      </w:r>
    </w:p>
    <w:p>
      <w:pPr>
        <w:spacing w:line="560" w:lineRule="exact"/>
        <w:rPr>
          <w:rFonts w:eastAsia="方正仿宋_GBK"/>
          <w:sz w:val="32"/>
          <w:szCs w:val="32"/>
          <w:highlight w:val="auto"/>
        </w:rPr>
      </w:pPr>
    </w:p>
    <w:p>
      <w:pPr>
        <w:autoSpaceDN w:val="0"/>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br w:type="page"/>
      </w:r>
      <w:r>
        <w:rPr>
          <w:rFonts w:ascii="方正黑体_GBK" w:eastAsia="方正黑体_GBK" w:cs="方正黑体_GBK" w:hint="eastAsia"/>
          <w:sz w:val="32"/>
          <w:szCs w:val="32"/>
          <w:lang w:bidi="ar-SA"/>
          <w:highlight w:val="auto"/>
        </w:rPr>
        <w:t>一、主要职能</w:t>
      </w:r>
    </w:p>
    <w:p>
      <w:pPr>
        <w:autoSpaceDN w:val="0"/>
        <w:spacing w:line="360" w:lineRule="auto"/>
        <w:ind w:firstLineChars="200" w:firstLine="640"/>
        <w:rPr>
          <w:rFonts w:eastAsia="方正仿宋_GBK"/>
          <w:sz w:val="32"/>
          <w:szCs w:val="32"/>
        </w:rPr>
      </w:pPr>
      <w:r>
        <w:rPr>
          <w:rFonts w:eastAsia="方正仿宋_GBK" w:hint="eastAsia"/>
          <w:sz w:val="32"/>
          <w:szCs w:val="32"/>
          <w:highlight w:val="auto"/>
        </w:rPr>
        <w:t>海关总署</w:t>
      </w:r>
      <w:r>
        <w:rPr>
          <w:rFonts w:eastAsia="方正仿宋_GBK" w:hint="eastAsia"/>
          <w:sz w:val="32"/>
          <w:szCs w:val="32"/>
          <w:lang w:eastAsia="zh-CN"/>
          <w:highlight w:val="auto"/>
        </w:rPr>
        <w:t>乌鲁木齐教育培训基地</w:t>
      </w:r>
      <w:r>
        <w:rPr>
          <w:rFonts w:eastAsia="方正仿宋_GBK" w:hint="eastAsia"/>
          <w:sz w:val="32"/>
          <w:szCs w:val="32"/>
          <w:highlight w:val="auto"/>
        </w:rPr>
        <w:t>是</w:t>
      </w:r>
      <w:r>
        <w:rPr>
          <w:rFonts w:eastAsia="方正仿宋_GBK" w:hint="eastAsia"/>
          <w:sz w:val="32"/>
          <w:szCs w:val="32"/>
          <w:lang w:eastAsia="zh-CN"/>
          <w:highlight w:val="auto"/>
        </w:rPr>
        <w:t>海关总署</w:t>
      </w:r>
      <w:r>
        <w:rPr>
          <w:rFonts w:eastAsia="方正仿宋_GBK" w:hint="eastAsia"/>
          <w:sz w:val="32"/>
          <w:szCs w:val="32"/>
          <w:highlight w:val="auto"/>
        </w:rPr>
        <w:t>直属机构，</w:t>
      </w:r>
      <w:r>
        <w:rPr>
          <w:rFonts w:eastAsia="方正仿宋_GBK" w:hint="eastAsia"/>
          <w:sz w:val="32"/>
          <w:szCs w:val="32"/>
        </w:rPr>
        <w:t>为正处级。依据《中华人民共和国海关法》等有关法律法规履行下列职责：</w:t>
      </w:r>
    </w:p>
    <w:p>
      <w:pPr>
        <w:autoSpaceDN w:val="0"/>
        <w:spacing w:line="360" w:lineRule="auto"/>
        <w:ind w:firstLineChars="200" w:firstLine="640"/>
        <w:rPr>
          <w:rFonts w:eastAsia="方正仿宋_GBK"/>
          <w:sz w:val="32"/>
          <w:szCs w:val="32"/>
        </w:rPr>
      </w:pPr>
      <w:r>
        <w:rPr>
          <w:rFonts w:eastAsia="方正仿宋_GBK" w:hint="eastAsia"/>
          <w:sz w:val="32"/>
          <w:szCs w:val="32"/>
        </w:rPr>
        <w:t>（一）负责全国海关的培训、会议及系统内工作人员的出差保障工作。</w:t>
      </w:r>
    </w:p>
    <w:p>
      <w:pPr>
        <w:spacing w:line="560" w:lineRule="exact"/>
        <w:ind w:firstLineChars="200" w:firstLine="640"/>
        <w:rPr>
          <w:rFonts w:eastAsia="方正黑体_GBK"/>
          <w:sz w:val="32"/>
          <w:szCs w:val="32"/>
        </w:rPr>
      </w:pPr>
      <w:r>
        <w:rPr>
          <w:rFonts w:eastAsia="方正黑体_GBK" w:hint="eastAsia"/>
          <w:sz w:val="32"/>
          <w:szCs w:val="32"/>
        </w:rPr>
        <w:t>二、海关总署乌鲁木齐教育培训基地系统单位构成情况</w:t>
      </w:r>
    </w:p>
    <w:p>
      <w:pPr>
        <w:ind w:firstLine="644"/>
        <w:jc w:val="center"/>
        <w:rPr>
          <w:rFonts w:eastAsia="方正仿宋_GBK"/>
          <w:sz w:val="32"/>
          <w:szCs w:val="32"/>
        </w:rPr>
      </w:pPr>
      <w:r>
        <w:rPr>
          <w:rFonts w:eastAsia="方正仿宋_GBK" w:hint="eastAsia"/>
          <w:sz w:val="32"/>
          <w:szCs w:val="32"/>
        </w:rPr>
        <w:t>海关总署乌鲁木齐教育培训基地内设机构：餐饮部、客</w:t>
      </w:r>
    </w:p>
    <w:p>
      <w:pPr>
        <w:ind w:left="0"/>
        <w:rPr>
          <w:rFonts w:eastAsia="方正仿宋_GBK"/>
          <w:sz w:val="32"/>
          <w:szCs w:val="32"/>
        </w:rPr>
      </w:pPr>
      <w:r>
        <w:rPr>
          <w:rFonts w:eastAsia="方正仿宋_GBK" w:hint="eastAsia"/>
          <w:sz w:val="32"/>
          <w:szCs w:val="32"/>
        </w:rPr>
        <w:t>房部、综合培训</w:t>
      </w:r>
      <w:r>
        <w:rPr>
          <w:rFonts w:eastAsia="方正仿宋_GBK"/>
          <w:sz w:val="32"/>
          <w:szCs w:val="32"/>
        </w:rPr>
        <w:t>部</w:t>
      </w:r>
      <w:r>
        <w:rPr>
          <w:rFonts w:eastAsia="方正仿宋_GBK" w:hint="eastAsia"/>
          <w:sz w:val="32"/>
          <w:szCs w:val="32"/>
        </w:rPr>
        <w:t>、</w:t>
      </w:r>
      <w:r>
        <w:rPr>
          <w:rFonts w:eastAsia="方正仿宋_GBK"/>
          <w:sz w:val="32"/>
          <w:szCs w:val="32"/>
        </w:rPr>
        <w:t>人力资源部、</w:t>
      </w:r>
      <w:r>
        <w:rPr>
          <w:rFonts w:eastAsia="方正仿宋_GBK" w:hint="eastAsia"/>
          <w:sz w:val="32"/>
          <w:szCs w:val="32"/>
        </w:rPr>
        <w:t>客房接待中心、</w:t>
      </w:r>
      <w:r>
        <w:rPr>
          <w:rFonts w:eastAsia="方正仿宋_GBK"/>
          <w:sz w:val="32"/>
          <w:szCs w:val="32"/>
        </w:rPr>
        <w:t>安保部</w:t>
      </w:r>
      <w:r>
        <w:rPr>
          <w:rFonts w:eastAsia="方正仿宋_GBK" w:hint="eastAsia"/>
          <w:sz w:val="32"/>
          <w:szCs w:val="32"/>
        </w:rPr>
        <w:t>、财务部</w:t>
      </w:r>
      <w:r>
        <w:rPr>
          <w:rFonts w:eastAsia="方正仿宋_GBK"/>
          <w:sz w:val="32"/>
          <w:szCs w:val="32"/>
        </w:rPr>
        <w:t>、销售部</w:t>
      </w:r>
      <w:r>
        <w:rPr>
          <w:rFonts w:eastAsia="方正仿宋_GBK" w:hint="eastAsia"/>
          <w:sz w:val="32"/>
          <w:szCs w:val="32"/>
        </w:rPr>
        <w:t>。</w:t>
      </w:r>
    </w:p>
    <w:p>
      <w:pPr>
        <w:autoSpaceDN w:val="0"/>
        <w:spacing w:line="560" w:lineRule="exact"/>
        <w:ind w:firstLineChars="200" w:firstLine="640"/>
        <w:rPr>
          <w:rFonts w:ascii="方正楷体_GBK" w:eastAsia="方正楷体_GBK" w:cs="方正楷体_GBK" w:hint="eastAsia"/>
          <w:b/>
          <w:bCs/>
          <w:sz w:val="32"/>
          <w:szCs w:val="32"/>
          <w:lang w:bidi="ar-SA"/>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jc w:val="center"/>
        <w:rPr>
          <w:b/>
          <w:sz w:val="72"/>
          <w:szCs w:val="72"/>
          <w:highlight w:val="auto"/>
        </w:rPr>
      </w:pPr>
      <w:r>
        <w:rPr>
          <w:rFonts w:hint="eastAsia"/>
          <w:b/>
          <w:sz w:val="72"/>
          <w:szCs w:val="72"/>
          <w:highlight w:val="auto"/>
        </w:rPr>
        <w:t>第二部分</w:t>
      </w:r>
      <w:r>
        <w:rPr>
          <w:b/>
          <w:sz w:val="72"/>
          <w:szCs w:val="72"/>
          <w:highlight w:val="auto"/>
        </w:rPr>
        <w:t xml:space="preserve">  </w:t>
      </w:r>
    </w:p>
    <w:p>
      <w:pPr>
        <w:ind w:left="-315"/>
        <w:jc w:val="center"/>
        <w:rPr>
          <w:b/>
          <w:sz w:val="72"/>
          <w:szCs w:val="72"/>
          <w:highlight w:val="auto"/>
        </w:rPr>
        <w:sectPr>
          <w:footerReference w:type="default" r:id="rId4"/>
          <w:pgSz w:w="11906" w:h="16838"/>
          <w:pgMar w:top="1440" w:right="1797" w:bottom="1440" w:left="1797" w:header="851" w:footer="992" w:gutter="0"/>
          <w:docGrid w:type="linesAndChars" w:linePitch="312" w:charSpace="0"/>
        </w:sectPr>
      </w:pPr>
      <w:r>
        <w:rPr>
          <w:rFonts w:hint="eastAsia"/>
          <w:b/>
          <w:sz w:val="72"/>
          <w:szCs w:val="72"/>
          <w:highlight w:val="auto"/>
        </w:rPr>
        <w:t>海关</w:t>
      </w:r>
      <w:r>
        <w:rPr>
          <w:rFonts w:hint="eastAsia"/>
          <w:b/>
          <w:sz w:val="72"/>
          <w:szCs w:val="72"/>
          <w:lang w:eastAsia="zh-CN"/>
          <w:highlight w:val="auto"/>
        </w:rPr>
        <w:t>总署乌鲁木齐教育培训基地</w:t>
      </w:r>
      <w:r>
        <w:rPr>
          <w:b/>
          <w:sz w:val="72"/>
          <w:szCs w:val="72"/>
          <w:highlight w:val="auto"/>
        </w:rPr>
        <w:t>202</w:t>
      </w:r>
      <w:r>
        <w:rPr>
          <w:b/>
          <w:sz w:val="72"/>
          <w:szCs w:val="72"/>
          <w:lang w:val="en-US" w:eastAsia="zh-CN"/>
          <w:highlight w:val="auto"/>
        </w:rPr>
        <w:t>5</w:t>
      </w:r>
      <w:r>
        <w:rPr>
          <w:rFonts w:hint="eastAsia"/>
          <w:b/>
          <w:sz w:val="72"/>
          <w:szCs w:val="72"/>
          <w:highlight w:val="auto"/>
        </w:rPr>
        <w:t>年预算表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951"/>
        <w:gridCol w:w="2456"/>
        <w:gridCol w:w="4753"/>
        <w:gridCol w:w="2456"/>
      </w:tblGrid>
      <w:tr>
        <w:trPr>
          <w:trHeight w:val="170"/>
        </w:trPr>
        <w:tc>
          <w:tcPr>
            <w:tcW w:w="5951" w:type="dxa"/>
            <w:tcBorders>
              <w:top w:val="nil"/>
              <w:left w:val="nil"/>
              <w:bottom w:val="nil"/>
              <w:right w:val="nil"/>
            </w:tcBorders>
            <w:noWrap/>
            <w:vAlign w:val="center"/>
          </w:tcPr>
          <w:p>
            <w:pPr>
              <w:rPr>
                <w:rFonts w:hint="eastAsia"/>
                <w:sz w:val="20"/>
                <w:highlight w:val="auto"/>
              </w:rPr>
            </w:pPr>
            <w:bookmarkStart w:id="0" w:name="RANGE!A1:D18"/>
            <w:bookmarkEnd w:id="0"/>
          </w:p>
        </w:tc>
        <w:tc>
          <w:tcPr>
            <w:tcW w:w="2456" w:type="dxa"/>
            <w:tcBorders>
              <w:top w:val="nil"/>
              <w:left w:val="nil"/>
              <w:bottom w:val="nil"/>
              <w:right w:val="nil"/>
            </w:tcBorders>
            <w:noWrap/>
            <w:vAlign w:val="center"/>
          </w:tcPr>
          <w:p>
            <w:pPr>
              <w:rPr>
                <w:rFonts w:hint="eastAsia"/>
                <w:sz w:val="16"/>
                <w:highlight w:val="auto"/>
              </w:rPr>
            </w:pPr>
          </w:p>
        </w:tc>
        <w:tc>
          <w:tcPr>
            <w:tcW w:w="4753" w:type="dxa"/>
            <w:tcBorders>
              <w:top w:val="nil"/>
              <w:left w:val="nil"/>
              <w:bottom w:val="nil"/>
              <w:right w:val="nil"/>
            </w:tcBorders>
            <w:noWrap/>
            <w:vAlign w:val="center"/>
          </w:tcPr>
          <w:p>
            <w:pPr>
              <w:rPr>
                <w:rFonts w:hint="eastAsia"/>
                <w:sz w:val="16"/>
                <w:highlight w:val="auto"/>
              </w:rPr>
            </w:pPr>
          </w:p>
        </w:tc>
        <w:tc>
          <w:tcPr>
            <w:tcW w:w="2456" w:type="dxa"/>
            <w:tcBorders>
              <w:top w:val="nil"/>
              <w:left w:val="nil"/>
              <w:bottom w:val="nil"/>
              <w:right w:val="nil"/>
            </w:tcBorders>
            <w:noWrap/>
            <w:vAlign w:val="center"/>
          </w:tcPr>
          <w:p>
            <w:pPr>
              <w:jc w:val="right"/>
              <w:rPr>
                <w:rFonts w:hint="eastAsia"/>
                <w:szCs w:val="21"/>
                <w:highlight w:val="auto"/>
              </w:rPr>
            </w:pPr>
            <w:r>
              <w:rPr>
                <w:rFonts w:ascii="黑体" w:eastAsia="黑体" w:cs="黑体" w:hint="eastAsia"/>
                <w:sz w:val="20"/>
                <w:szCs w:val="20"/>
                <w:lang w:bidi="ar-SA"/>
                <w:highlight w:val="auto"/>
              </w:rPr>
              <w:t>部门公开表1</w:t>
            </w:r>
          </w:p>
        </w:tc>
      </w:tr>
      <w:tr>
        <w:trPr>
          <w:trHeight w:val="170"/>
        </w:trPr>
        <w:tc>
          <w:tcPr>
            <w:tcW w:w="15616" w:type="dxa"/>
            <w:gridSpan w:val="4"/>
            <w:tcBorders>
              <w:top w:val="nil"/>
              <w:left w:val="nil"/>
              <w:bottom w:val="nil"/>
              <w:right w:val="nil"/>
            </w:tcBorders>
            <w:noWrap/>
            <w:vAlign w:val="center"/>
          </w:tcPr>
          <w:p>
            <w:pPr>
              <w:jc w:val="center"/>
              <w:rPr>
                <w:rFonts w:hint="eastAsia"/>
                <w:b/>
                <w:color w:val="000000"/>
                <w:sz w:val="36"/>
                <w:szCs w:val="36"/>
                <w:highlight w:val="auto"/>
              </w:rPr>
            </w:pPr>
            <w:r>
              <w:rPr>
                <w:rFonts w:hint="eastAsia"/>
                <w:b/>
                <w:color w:val="000000"/>
                <w:sz w:val="36"/>
                <w:szCs w:val="36"/>
                <w:highlight w:val="auto"/>
              </w:rPr>
              <w:t>部门收支总表</w:t>
            </w:r>
          </w:p>
        </w:tc>
      </w:tr>
      <w:tr>
        <w:trPr>
          <w:trHeight w:hRule="exact" w:val="509"/>
        </w:trPr>
        <w:tc>
          <w:tcPr>
            <w:tcW w:w="8407" w:type="dxa"/>
            <w:gridSpan w:val="2"/>
            <w:tcBorders>
              <w:top w:val="nil"/>
              <w:left w:val="nil"/>
              <w:bottom w:val="single" w:sz="4" w:space="0" w:color="auto"/>
              <w:right w:val="nil"/>
            </w:tcBorders>
            <w:noWrap/>
            <w:vAlign w:val="center"/>
          </w:tcPr>
          <w:p>
            <w:pPr>
              <w:rPr>
                <w:rFonts w:hint="eastAsia"/>
                <w:color w:val="000000"/>
                <w:szCs w:val="21"/>
                <w:highlight w:val="auto"/>
              </w:rPr>
            </w:pPr>
          </w:p>
        </w:tc>
        <w:tc>
          <w:tcPr>
            <w:tcW w:w="7209" w:type="dxa"/>
            <w:gridSpan w:val="2"/>
            <w:tcBorders>
              <w:top w:val="nil"/>
              <w:left w:val="nil"/>
              <w:bottom w:val="single" w:sz="4" w:space="0" w:color="auto"/>
              <w:right w:val="nil"/>
            </w:tcBorders>
            <w:noWrap/>
            <w:vAlign w:val="center"/>
          </w:tcPr>
          <w:p>
            <w:pPr>
              <w:jc w:val="right"/>
              <w:rPr>
                <w:rFonts w:hint="eastAsia"/>
                <w:color w:val="000000"/>
                <w:szCs w:val="21"/>
                <w:highlight w:val="auto"/>
              </w:rPr>
            </w:pPr>
            <w:r>
              <w:rPr>
                <w:rFonts w:hint="eastAsia"/>
                <w:color w:val="000000"/>
                <w:sz w:val="20"/>
                <w:szCs w:val="20"/>
                <w:highlight w:val="auto"/>
              </w:rPr>
              <w:t>单位：万元</w:t>
            </w:r>
          </w:p>
        </w:tc>
      </w:tr>
      <w:tr>
        <w:trPr>
          <w:trHeight w:hRule="exact" w:val="509"/>
        </w:trPr>
        <w:tc>
          <w:tcPr>
            <w:tcW w:w="8407" w:type="dxa"/>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highlight w:val="auto"/>
              </w:rPr>
            </w:pPr>
            <w:r>
              <w:rPr>
                <w:color w:val="000000"/>
                <w:sz w:val="24"/>
                <w:highlight w:val="auto"/>
              </w:rPr>
              <w:t>收入</w:t>
            </w:r>
          </w:p>
        </w:tc>
        <w:tc>
          <w:tcPr>
            <w:tcW w:w="7209" w:type="dxa"/>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highlight w:val="auto"/>
              </w:rPr>
            </w:pPr>
            <w:r>
              <w:rPr>
                <w:color w:val="000000"/>
                <w:sz w:val="24"/>
                <w:highlight w:val="auto"/>
              </w:rPr>
              <w:t>支出</w:t>
            </w: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highlight w:val="auto"/>
              </w:rPr>
            </w:pPr>
            <w:r>
              <w:rPr>
                <w:color w:val="000000"/>
                <w:sz w:val="24"/>
                <w:highlight w:val="auto"/>
              </w:rPr>
              <w:t>项目</w:t>
            </w:r>
          </w:p>
        </w:tc>
        <w:tc>
          <w:tcPr>
            <w:tcW w:w="2456" w:type="dxa"/>
            <w:tcBorders>
              <w:top w:val="single" w:sz="6" w:space="0" w:color="000000"/>
              <w:left w:val="single" w:sz="6" w:space="0" w:color="000000"/>
              <w:bottom w:val="single" w:sz="6" w:space="0" w:color="000000"/>
              <w:right w:val="nil"/>
            </w:tcBorders>
            <w:noWrap/>
            <w:vAlign w:val="center"/>
          </w:tcPr>
          <w:p>
            <w:pPr>
              <w:jc w:val="center"/>
              <w:rPr>
                <w:color w:val="000000"/>
                <w:sz w:val="24"/>
                <w:highlight w:val="auto"/>
              </w:rPr>
            </w:pPr>
            <w:r>
              <w:rPr>
                <w:color w:val="000000"/>
                <w:sz w:val="24"/>
                <w:highlight w:val="auto"/>
              </w:rPr>
              <w:t>预算数</w:t>
            </w:r>
          </w:p>
        </w:tc>
        <w:tc>
          <w:tcPr>
            <w:tcW w:w="4753" w:type="dxa"/>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highlight w:val="auto"/>
              </w:rPr>
            </w:pPr>
            <w:r>
              <w:rPr>
                <w:color w:val="000000"/>
                <w:sz w:val="24"/>
                <w:highlight w:val="auto"/>
              </w:rPr>
              <w:t>项目</w:t>
            </w:r>
          </w:p>
        </w:tc>
        <w:tc>
          <w:tcPr>
            <w:tcW w:w="2456" w:type="dxa"/>
            <w:tcBorders>
              <w:top w:val="single" w:sz="6" w:space="0" w:color="000000"/>
              <w:left w:val="single" w:sz="6" w:space="0" w:color="000000"/>
              <w:bottom w:val="single" w:sz="6" w:space="0" w:color="000000"/>
              <w:right w:val="single" w:sz="6" w:space="0" w:color="000000"/>
            </w:tcBorders>
            <w:noWrap/>
            <w:vAlign w:val="center"/>
          </w:tcPr>
          <w:p>
            <w:pPr>
              <w:jc w:val="center"/>
              <w:rPr>
                <w:color w:val="000000"/>
                <w:sz w:val="24"/>
                <w:highlight w:val="auto"/>
              </w:rPr>
            </w:pPr>
            <w:r>
              <w:rPr>
                <w:color w:val="000000"/>
                <w:sz w:val="24"/>
                <w:highlight w:val="auto"/>
              </w:rPr>
              <w:t>预算数</w:t>
            </w: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一、一般公共预算拨款收入</w:t>
            </w:r>
          </w:p>
        </w:tc>
        <w:tc>
          <w:tcPr>
            <w:tcW w:w="2456" w:type="dxa"/>
            <w:tcBorders>
              <w:top w:val="single" w:sz="6" w:space="0" w:color="auto"/>
              <w:left w:val="single" w:sz="6" w:space="0" w:color="auto"/>
              <w:bottom w:val="single" w:sz="6" w:space="0" w:color="auto"/>
              <w:right w:val="single" w:sz="6" w:space="0" w:color="auto"/>
            </w:tcBorders>
            <w:noWrap/>
            <w:vAlign w:val="center"/>
          </w:tcPr>
          <w:p>
            <w:pPr>
              <w:keepNext w:val="0"/>
              <w:keepLines w:val="0"/>
              <w:widowControl/>
              <w:suppressLineNumbers w:val="0"/>
              <w:jc w:val="right"/>
              <w:textAlignment w:val="center"/>
              <w:rPr>
                <w:rFonts w:ascii="Times New Roman" w:eastAsia="宋体" w:cs="Times New Roman" w:hAnsi="Times New Roman"/>
                <w:color w:val="000000"/>
                <w:kern w:val="2"/>
                <w:sz w:val="24"/>
                <w:szCs w:val="24"/>
                <w:u w:val="none"/>
                <w:lang w:val="en-US" w:eastAsia="zh-CN" w:bidi="ar-SA"/>
              </w:rPr>
            </w:pP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一、一般公共服务支出</w:t>
            </w:r>
          </w:p>
        </w:tc>
        <w:tc>
          <w:tcPr>
            <w:tcW w:w="2456" w:type="dxa"/>
            <w:tcBorders>
              <w:top w:val="single" w:sz="6" w:space="0" w:color="000000"/>
              <w:left w:val="single" w:sz="6" w:space="0" w:color="000000"/>
              <w:bottom w:val="single" w:sz="6" w:space="0" w:color="000000"/>
              <w:right w:val="single" w:sz="6"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color w:val="000000"/>
                <w:sz w:val="24"/>
                <w:szCs w:val="24"/>
                <w:lang w:val="en-US" w:eastAsia="zh-CN" w:bidi="ar-SA"/>
                <w:highlight w:val="auto"/>
              </w:rPr>
            </w:pPr>
            <w:r>
              <w:rPr>
                <w:rFonts w:cs="Times New Roman"/>
                <w:color w:val="000000"/>
                <w:sz w:val="24"/>
                <w:szCs w:val="24"/>
                <w:lang w:val="en-US" w:eastAsia="zh-CN" w:bidi="ar-SA"/>
                <w:highlight w:val="auto"/>
              </w:rPr>
              <w:t>3,000.00</w:t>
            </w: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二、政府性基金预算拨款收入</w:t>
            </w:r>
          </w:p>
        </w:tc>
        <w:tc>
          <w:tcPr>
            <w:tcW w:w="2456" w:type="dxa"/>
            <w:tcBorders>
              <w:top w:val="single" w:sz="6" w:space="0" w:color="auto"/>
              <w:left w:val="single" w:sz="6" w:space="0" w:color="auto"/>
              <w:bottom w:val="single" w:sz="6" w:space="0" w:color="auto"/>
              <w:right w:val="single" w:sz="6" w:space="0" w:color="auto"/>
            </w:tcBorders>
            <w:noWrap/>
            <w:vAlign w:val="center"/>
          </w:tcPr>
          <w:p>
            <w:pPr>
              <w:jc w:val="right"/>
              <w:rPr>
                <w:rFonts w:ascii="Times New Roman" w:cs="Times New Roman" w:hAnsi="Times New Roman"/>
                <w:color w:val="000000"/>
                <w:sz w:val="24"/>
                <w:szCs w:val="24"/>
                <w:lang w:bidi="ar-SA"/>
                <w:highlight w:val="auto"/>
              </w:rPr>
            </w:pP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二、外交支出</w:t>
            </w:r>
          </w:p>
        </w:tc>
        <w:tc>
          <w:tcPr>
            <w:tcW w:w="2456" w:type="dxa"/>
            <w:tcBorders>
              <w:top w:val="single" w:sz="6" w:space="0" w:color="000000"/>
              <w:left w:val="single" w:sz="6" w:space="0" w:color="000000"/>
              <w:bottom w:val="single" w:sz="6" w:space="0" w:color="000000"/>
              <w:right w:val="single" w:sz="6" w:space="0" w:color="000000"/>
            </w:tcBorders>
            <w:noWrap/>
            <w:vAlign w:val="center"/>
          </w:tcPr>
          <w:p>
            <w:pPr>
              <w:keepNext w:val="0"/>
              <w:keepLines w:val="0"/>
              <w:widowControl/>
              <w:suppressLineNumbers w:val="0"/>
              <w:jc w:val="right"/>
              <w:textAlignment w:val="center"/>
              <w:rPr>
                <w:rFonts w:ascii="Times New Roman" w:cs="Times New Roman" w:hAnsi="Times New Roman"/>
                <w:color w:val="000000"/>
                <w:sz w:val="24"/>
                <w:szCs w:val="24"/>
                <w:lang w:bidi="ar-SA"/>
                <w:highlight w:val="auto"/>
              </w:rPr>
            </w:pP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三、国有资本经营预算拨款收入</w:t>
            </w:r>
          </w:p>
        </w:tc>
        <w:tc>
          <w:tcPr>
            <w:tcW w:w="2456" w:type="dxa"/>
            <w:tcBorders>
              <w:top w:val="single" w:sz="6" w:space="0" w:color="000000"/>
              <w:left w:val="single" w:sz="6" w:space="0" w:color="000000"/>
              <w:bottom w:val="single" w:sz="6" w:space="0" w:color="000000"/>
              <w:right w:val="nil"/>
            </w:tcBorders>
            <w:noWrap/>
            <w:vAlign w:val="center"/>
          </w:tcPr>
          <w:p>
            <w:pPr>
              <w:jc w:val="right"/>
              <w:rPr>
                <w:rFonts w:ascii="Times New Roman" w:cs="Times New Roman" w:hAnsi="Times New Roman"/>
                <w:color w:val="000000"/>
                <w:sz w:val="24"/>
                <w:szCs w:val="24"/>
                <w:lang w:bidi="ar-SA"/>
                <w:highlight w:val="auto"/>
              </w:rPr>
            </w:pP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三、公共安全支出</w:t>
            </w:r>
          </w:p>
        </w:tc>
        <w:tc>
          <w:tcPr>
            <w:tcW w:w="2456" w:type="dxa"/>
            <w:tcBorders>
              <w:top w:val="single" w:sz="6" w:space="0" w:color="000000"/>
              <w:left w:val="single" w:sz="6" w:space="0" w:color="000000"/>
              <w:bottom w:val="single" w:sz="6" w:space="0" w:color="000000"/>
              <w:right w:val="single" w:sz="6" w:space="0" w:color="000000"/>
            </w:tcBorders>
            <w:noWrap/>
            <w:vAlign w:val="center"/>
          </w:tcPr>
          <w:p>
            <w:pPr>
              <w:keepNext w:val="0"/>
              <w:keepLines w:val="0"/>
              <w:widowControl/>
              <w:suppressLineNumbers w:val="0"/>
              <w:jc w:val="right"/>
              <w:textAlignment w:val="center"/>
              <w:rPr>
                <w:rFonts w:ascii="Times New Roman" w:cs="Times New Roman" w:hAnsi="Times New Roman"/>
                <w:color w:val="000000"/>
                <w:sz w:val="24"/>
                <w:szCs w:val="24"/>
                <w:lang w:bidi="ar-SA"/>
                <w:highlight w:val="auto"/>
              </w:rPr>
            </w:pP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四、事业收入</w:t>
            </w:r>
          </w:p>
        </w:tc>
        <w:tc>
          <w:tcPr>
            <w:tcW w:w="2456" w:type="dxa"/>
            <w:tcBorders>
              <w:top w:val="single" w:sz="6" w:space="0" w:color="000000"/>
              <w:left w:val="single" w:sz="6" w:space="0" w:color="000000"/>
              <w:bottom w:val="single" w:sz="6" w:space="0" w:color="000000"/>
              <w:right w:val="nil"/>
            </w:tcBorders>
            <w:noWrap/>
            <w:vAlign w:val="center"/>
          </w:tcPr>
          <w:p>
            <w:pPr>
              <w:keepNext w:val="0"/>
              <w:keepLines w:val="0"/>
              <w:widowControl/>
              <w:suppressLineNumbers w:val="0"/>
              <w:jc w:val="right"/>
              <w:textAlignment w:val="center"/>
              <w:rPr>
                <w:rFonts w:ascii="Times New Roman" w:eastAsia="宋体" w:cs="Times New Roman" w:hAnsi="Times New Roman"/>
                <w:color w:val="000000"/>
                <w:kern w:val="2"/>
                <w:sz w:val="24"/>
                <w:szCs w:val="24"/>
                <w:u w:val="none"/>
                <w:lang w:val="en-US" w:eastAsia="zh-CN" w:bidi="ar-SA"/>
              </w:rPr>
            </w:pPr>
            <w:r>
              <w:rPr>
                <w:rFonts w:cs="Times New Roman"/>
                <w:color w:val="000000"/>
                <w:kern w:val="2"/>
                <w:sz w:val="24"/>
                <w:szCs w:val="24"/>
                <w:u w:val="none"/>
                <w:lang w:val="en-US" w:eastAsia="zh-CN" w:bidi="ar-SA"/>
              </w:rPr>
              <w:t>1,199.00</w:t>
            </w: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四、教育支出</w:t>
            </w:r>
          </w:p>
        </w:tc>
        <w:tc>
          <w:tcPr>
            <w:tcW w:w="2456" w:type="dxa"/>
            <w:tcBorders>
              <w:top w:val="single" w:sz="6" w:space="0" w:color="000000"/>
              <w:left w:val="single" w:sz="6" w:space="0" w:color="000000"/>
              <w:bottom w:val="single" w:sz="6" w:space="0" w:color="000000"/>
              <w:right w:val="single" w:sz="6" w:space="0" w:color="000000"/>
            </w:tcBorders>
            <w:noWrap/>
            <w:vAlign w:val="center"/>
          </w:tcPr>
          <w:p>
            <w:pPr>
              <w:keepNext w:val="0"/>
              <w:keepLines w:val="0"/>
              <w:widowControl/>
              <w:suppressLineNumbers w:val="0"/>
              <w:jc w:val="right"/>
              <w:textAlignment w:val="center"/>
              <w:rPr>
                <w:rFonts w:ascii="Times New Roman" w:cs="Times New Roman" w:hAnsi="Times New Roman"/>
                <w:color w:val="000000"/>
                <w:sz w:val="24"/>
                <w:szCs w:val="24"/>
                <w:lang w:bidi="ar-SA"/>
                <w:highlight w:val="auto"/>
              </w:rPr>
            </w:pP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五、事业单位经营收入</w:t>
            </w:r>
          </w:p>
        </w:tc>
        <w:tc>
          <w:tcPr>
            <w:tcW w:w="2456" w:type="dxa"/>
            <w:tcBorders>
              <w:top w:val="single" w:sz="6" w:space="0" w:color="000000"/>
              <w:left w:val="single" w:sz="6" w:space="0" w:color="000000"/>
              <w:bottom w:val="single" w:sz="6" w:space="0" w:color="000000"/>
              <w:right w:val="nil"/>
            </w:tcBorders>
            <w:noWrap/>
            <w:vAlign w:val="center"/>
          </w:tcPr>
          <w:p>
            <w:pPr>
              <w:keepNext w:val="0"/>
              <w:keepLines w:val="0"/>
              <w:widowControl/>
              <w:suppressLineNumbers w:val="0"/>
              <w:jc w:val="right"/>
              <w:textAlignment w:val="center"/>
              <w:rPr>
                <w:rFonts w:ascii="Times New Roman" w:cs="Times New Roman" w:hAnsi="Times New Roman"/>
                <w:color w:val="000000"/>
                <w:sz w:val="24"/>
                <w:szCs w:val="24"/>
                <w:lang w:bidi="ar-SA"/>
                <w:highlight w:val="auto"/>
              </w:rPr>
            </w:pPr>
            <w:r>
              <w:rPr>
                <w:rFonts w:ascii="Times New Roman" w:cs="Times New Roman" w:hAnsi="Times New Roman"/>
                <w:color w:val="000000"/>
                <w:sz w:val="24"/>
                <w:szCs w:val="24"/>
                <w:lang w:bidi="ar-SA"/>
                <w:highlight w:val="auto"/>
              </w:rPr>
              <w:t>1,800.00</w:t>
            </w: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五、社会保障和就业支出</w:t>
            </w:r>
          </w:p>
        </w:tc>
        <w:tc>
          <w:tcPr>
            <w:tcW w:w="2456" w:type="dxa"/>
            <w:tcBorders>
              <w:top w:val="single" w:sz="6" w:space="0" w:color="000000"/>
              <w:left w:val="single" w:sz="6" w:space="0" w:color="000000"/>
              <w:bottom w:val="single" w:sz="6" w:space="0" w:color="000000"/>
              <w:right w:val="single" w:sz="6" w:space="0" w:color="000000"/>
            </w:tcBorders>
            <w:noWrap/>
            <w:vAlign w:val="center"/>
          </w:tcPr>
          <w:p>
            <w:pPr>
              <w:keepNext w:val="0"/>
              <w:keepLines w:val="0"/>
              <w:widowControl/>
              <w:suppressLineNumbers w:val="0"/>
              <w:jc w:val="right"/>
              <w:textAlignment w:val="center"/>
              <w:rPr>
                <w:rFonts w:ascii="Times New Roman" w:cs="Times New Roman" w:hAnsi="Times New Roman"/>
                <w:color w:val="000000"/>
                <w:sz w:val="24"/>
                <w:szCs w:val="24"/>
                <w:lang w:bidi="ar-SA"/>
                <w:highlight w:val="auto"/>
              </w:rPr>
            </w:pP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六、其他收入</w:t>
            </w:r>
          </w:p>
        </w:tc>
        <w:tc>
          <w:tcPr>
            <w:tcW w:w="2456" w:type="dxa"/>
            <w:tcBorders>
              <w:top w:val="single" w:sz="6" w:space="0" w:color="auto"/>
              <w:left w:val="single" w:sz="6" w:space="0" w:color="auto"/>
              <w:bottom w:val="single" w:sz="6" w:space="0" w:color="auto"/>
              <w:right w:val="single" w:sz="6" w:space="0" w:color="auto"/>
            </w:tcBorders>
            <w:noWrap/>
            <w:vAlign w:val="center"/>
          </w:tcPr>
          <w:p>
            <w:pPr>
              <w:keepNext w:val="0"/>
              <w:keepLines w:val="0"/>
              <w:widowControl/>
              <w:suppressLineNumbers w:val="0"/>
              <w:jc w:val="right"/>
              <w:textAlignment w:val="center"/>
              <w:rPr>
                <w:rFonts w:ascii="Times New Roman" w:eastAsia="宋体" w:cs="Times New Roman" w:hAnsi="Times New Roman"/>
                <w:color w:val="000000"/>
                <w:sz w:val="24"/>
                <w:szCs w:val="24"/>
                <w:lang w:val="en-US" w:eastAsia="zh-CN" w:bidi="ar-SA"/>
                <w:highlight w:val="auto"/>
              </w:rPr>
            </w:pPr>
            <w:r>
              <w:rPr>
                <w:rFonts w:ascii="Times New Roman" w:eastAsia="宋体" w:cs="Times New Roman" w:hAnsi="Times New Roman"/>
                <w:color w:val="000000"/>
                <w:sz w:val="24"/>
                <w:szCs w:val="24"/>
                <w:lang w:val="en-US" w:eastAsia="zh-CN" w:bidi="ar-SA"/>
                <w:highlight w:val="auto"/>
              </w:rPr>
              <w:t>1.00</w:t>
            </w: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六、卫生健康支出</w:t>
            </w:r>
          </w:p>
        </w:tc>
        <w:tc>
          <w:tcPr>
            <w:tcW w:w="2456" w:type="dxa"/>
            <w:tcBorders>
              <w:top w:val="single" w:sz="6" w:space="0" w:color="000000"/>
              <w:left w:val="single" w:sz="6" w:space="0" w:color="000000"/>
              <w:bottom w:val="single" w:sz="6" w:space="0" w:color="000000"/>
              <w:right w:val="single" w:sz="6" w:space="0" w:color="000000"/>
            </w:tcBorders>
            <w:noWrap/>
            <w:vAlign w:val="center"/>
          </w:tcPr>
          <w:p>
            <w:pPr>
              <w:keepNext w:val="0"/>
              <w:keepLines w:val="0"/>
              <w:widowControl/>
              <w:suppressLineNumbers w:val="0"/>
              <w:jc w:val="right"/>
              <w:textAlignment w:val="center"/>
              <w:rPr>
                <w:rFonts w:ascii="Times New Roman" w:cs="Times New Roman" w:hAnsi="Times New Roman"/>
                <w:color w:val="000000"/>
                <w:sz w:val="24"/>
                <w:szCs w:val="24"/>
                <w:lang w:bidi="ar-SA"/>
                <w:highlight w:val="auto"/>
              </w:rPr>
            </w:pP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p>
        </w:tc>
        <w:tc>
          <w:tcPr>
            <w:tcW w:w="2456" w:type="dxa"/>
            <w:tcBorders>
              <w:top w:val="single" w:sz="6" w:space="0" w:color="auto"/>
              <w:left w:val="single" w:sz="6" w:space="0" w:color="auto"/>
              <w:bottom w:val="single" w:sz="6" w:space="0" w:color="auto"/>
              <w:right w:val="single" w:sz="6" w:space="0" w:color="auto"/>
            </w:tcBorders>
            <w:noWrap/>
            <w:vAlign w:val="center"/>
          </w:tcPr>
          <w:p>
            <w:pPr>
              <w:jc w:val="right"/>
              <w:rPr>
                <w:rFonts w:ascii="Times New Roman" w:cs="Times New Roman" w:hAnsi="Times New Roman"/>
                <w:color w:val="000000"/>
                <w:sz w:val="24"/>
                <w:szCs w:val="24"/>
                <w:lang w:bidi="ar-SA"/>
                <w:highlight w:val="auto"/>
              </w:rPr>
            </w:pP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七、住房保障支出</w:t>
            </w:r>
          </w:p>
        </w:tc>
        <w:tc>
          <w:tcPr>
            <w:tcW w:w="2456" w:type="dxa"/>
            <w:tcBorders>
              <w:top w:val="single" w:sz="6" w:space="0" w:color="auto"/>
              <w:left w:val="single" w:sz="6" w:space="0" w:color="auto"/>
              <w:bottom w:val="single" w:sz="6" w:space="0" w:color="auto"/>
              <w:right w:val="single" w:sz="6" w:space="0" w:color="auto"/>
            </w:tcBorders>
            <w:noWrap/>
            <w:vAlign w:val="center"/>
          </w:tcPr>
          <w:p>
            <w:pPr>
              <w:keepNext w:val="0"/>
              <w:keepLines w:val="0"/>
              <w:widowControl/>
              <w:suppressLineNumbers w:val="0"/>
              <w:jc w:val="right"/>
              <w:textAlignment w:val="center"/>
              <w:rPr>
                <w:rFonts w:ascii="Times New Roman" w:cs="Times New Roman" w:hAnsi="Times New Roman"/>
                <w:color w:val="000000"/>
                <w:sz w:val="24"/>
                <w:szCs w:val="24"/>
                <w:lang w:bidi="ar-SA"/>
                <w:highlight w:val="auto"/>
              </w:rPr>
            </w:pP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p>
        </w:tc>
        <w:tc>
          <w:tcPr>
            <w:tcW w:w="2456" w:type="dxa"/>
            <w:tcBorders>
              <w:top w:val="single" w:sz="6" w:space="0" w:color="auto"/>
              <w:left w:val="single" w:sz="6" w:space="0" w:color="auto"/>
              <w:bottom w:val="single" w:sz="6" w:space="0" w:color="auto"/>
              <w:right w:val="single" w:sz="6" w:space="0" w:color="auto"/>
            </w:tcBorders>
            <w:noWrap/>
            <w:vAlign w:val="center"/>
          </w:tcPr>
          <w:p>
            <w:pPr>
              <w:jc w:val="right"/>
              <w:rPr>
                <w:rFonts w:ascii="Times New Roman" w:cs="Times New Roman" w:hAnsi="Times New Roman"/>
                <w:color w:val="000000"/>
                <w:sz w:val="24"/>
                <w:szCs w:val="24"/>
                <w:lang w:bidi="ar-SA"/>
                <w:highlight w:val="auto"/>
              </w:rPr>
            </w:pPr>
          </w:p>
        </w:tc>
        <w:tc>
          <w:tcPr>
            <w:tcW w:w="4753" w:type="dxa"/>
            <w:tcBorders>
              <w:top w:val="nil"/>
              <w:left w:val="nil"/>
              <w:bottom w:val="nil"/>
              <w:right w:val="nil"/>
            </w:tcBorders>
            <w:noWrap/>
            <w:vAlign w:val="center"/>
          </w:tcPr>
          <w:p>
            <w:pPr>
              <w:rPr>
                <w:color w:val="000000"/>
                <w:sz w:val="24"/>
                <w:highlight w:val="auto"/>
              </w:rPr>
            </w:pPr>
          </w:p>
        </w:tc>
        <w:tc>
          <w:tcPr>
            <w:tcW w:w="2456" w:type="dxa"/>
            <w:tcBorders>
              <w:top w:val="single" w:sz="6" w:space="0" w:color="auto"/>
              <w:left w:val="single" w:sz="6" w:space="0" w:color="auto"/>
              <w:bottom w:val="single" w:sz="6" w:space="0" w:color="auto"/>
              <w:right w:val="single" w:sz="6" w:space="0" w:color="auto"/>
            </w:tcBorders>
            <w:noWrap/>
            <w:vAlign w:val="center"/>
          </w:tcPr>
          <w:p>
            <w:pPr>
              <w:jc w:val="right"/>
              <w:rPr>
                <w:rFonts w:ascii="Times New Roman" w:cs="Times New Roman" w:hAnsi="Times New Roman"/>
                <w:color w:val="000000"/>
                <w:sz w:val="24"/>
                <w:szCs w:val="24"/>
                <w:lang w:bidi="ar-SA"/>
                <w:highlight w:val="auto"/>
              </w:rPr>
            </w:pP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本年收入合计</w:t>
            </w:r>
          </w:p>
        </w:tc>
        <w:tc>
          <w:tcPr>
            <w:tcW w:w="2456" w:type="dxa"/>
            <w:tcBorders>
              <w:top w:val="single" w:sz="6" w:space="0" w:color="auto"/>
              <w:left w:val="single" w:sz="6" w:space="0" w:color="auto"/>
              <w:bottom w:val="single" w:sz="6" w:space="0" w:color="auto"/>
              <w:right w:val="single" w:sz="6" w:space="0" w:color="auto"/>
            </w:tcBorders>
            <w:noWrap/>
            <w:vAlign w:val="center"/>
          </w:tcPr>
          <w:p>
            <w:pPr>
              <w:keepNext w:val="0"/>
              <w:keepLines w:val="0"/>
              <w:widowControl/>
              <w:suppressLineNumbers w:val="0"/>
              <w:jc w:val="right"/>
              <w:textAlignment w:val="center"/>
              <w:rPr>
                <w:rFonts w:ascii="Times New Roman" w:eastAsia="宋体" w:cs="Times New Roman" w:hAnsi="Times New Roman"/>
                <w:color w:val="000000"/>
                <w:sz w:val="24"/>
                <w:szCs w:val="24"/>
                <w:lang w:val="en-US" w:eastAsia="zh-CN" w:bidi="ar-SA"/>
                <w:highlight w:val="auto"/>
              </w:rPr>
            </w:pPr>
            <w:r>
              <w:rPr>
                <w:rFonts w:ascii="Times New Roman" w:eastAsia="宋体" w:cs="Times New Roman" w:hAnsi="Times New Roman"/>
                <w:color w:val="000000"/>
                <w:sz w:val="24"/>
                <w:szCs w:val="24"/>
                <w:lang w:val="en-US" w:eastAsia="zh-CN" w:bidi="ar-SA"/>
                <w:highlight w:val="auto"/>
              </w:rPr>
              <w:t>3,000.00</w:t>
            </w: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本年支出合计</w:t>
            </w:r>
          </w:p>
        </w:tc>
        <w:tc>
          <w:tcPr>
            <w:tcW w:w="2456" w:type="dxa"/>
            <w:tcBorders>
              <w:top w:val="single" w:sz="6" w:space="0" w:color="auto"/>
              <w:left w:val="single" w:sz="6" w:space="0" w:color="auto"/>
              <w:bottom w:val="single" w:sz="6" w:space="0" w:color="auto"/>
              <w:right w:val="single" w:sz="6" w:space="0" w:color="auto"/>
            </w:tcBorders>
            <w:noWrap/>
            <w:vAlign w:val="center"/>
          </w:tcPr>
          <w:p>
            <w:pPr>
              <w:keepNext w:val="0"/>
              <w:keepLines w:val="0"/>
              <w:widowControl/>
              <w:suppressLineNumbers w:val="0"/>
              <w:jc w:val="right"/>
              <w:textAlignment w:val="center"/>
              <w:rPr>
                <w:rFonts w:ascii="Times New Roman" w:eastAsia="宋体" w:cs="Times New Roman" w:hAnsi="Times New Roman"/>
                <w:color w:val="000000"/>
                <w:kern w:val="2"/>
                <w:sz w:val="24"/>
                <w:szCs w:val="24"/>
                <w:lang w:val="en-US" w:eastAsia="zh-CN" w:bidi="ar-SA"/>
                <w:highlight w:val="auto"/>
              </w:rPr>
            </w:pPr>
            <w:r>
              <w:rPr>
                <w:rFonts w:cs="Times New Roman"/>
                <w:color w:val="000000"/>
                <w:sz w:val="24"/>
                <w:szCs w:val="24"/>
                <w:lang w:val="en-US" w:eastAsia="zh-CN" w:bidi="ar-SA"/>
                <w:highlight w:val="auto"/>
              </w:rPr>
              <w:t>3,000.00</w:t>
            </w: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使用非财政拨款结余</w:t>
            </w:r>
          </w:p>
        </w:tc>
        <w:tc>
          <w:tcPr>
            <w:tcW w:w="2456" w:type="dxa"/>
            <w:tcBorders>
              <w:top w:val="single" w:sz="6" w:space="0" w:color="000000"/>
              <w:left w:val="single" w:sz="6" w:space="0" w:color="000000"/>
              <w:bottom w:val="single" w:sz="6" w:space="0" w:color="000000"/>
              <w:right w:val="nil"/>
            </w:tcBorders>
            <w:noWrap/>
            <w:vAlign w:val="center"/>
          </w:tcPr>
          <w:p>
            <w:pPr>
              <w:keepNext w:val="0"/>
              <w:keepLines w:val="0"/>
              <w:widowControl/>
              <w:suppressLineNumbers w:val="0"/>
              <w:jc w:val="right"/>
              <w:textAlignment w:val="center"/>
              <w:rPr>
                <w:rFonts w:ascii="Times New Roman" w:eastAsia="宋体" w:cs="Times New Roman" w:hAnsi="Times New Roman"/>
                <w:color w:val="FF0000"/>
                <w:sz w:val="24"/>
                <w:szCs w:val="24"/>
                <w:lang w:val="en-US" w:eastAsia="zh-CN" w:bidi="ar-SA"/>
                <w:highlight w:val="auto"/>
              </w:rPr>
            </w:pP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结转下年</w:t>
            </w:r>
          </w:p>
        </w:tc>
        <w:tc>
          <w:tcPr>
            <w:tcW w:w="2456" w:type="dxa"/>
            <w:tcBorders>
              <w:top w:val="single" w:sz="6" w:space="0" w:color="000000"/>
              <w:left w:val="single" w:sz="6" w:space="0" w:color="000000"/>
              <w:bottom w:val="single" w:sz="6" w:space="0" w:color="000000"/>
              <w:right w:val="single" w:sz="6" w:space="0" w:color="000000"/>
            </w:tcBorders>
            <w:noWrap/>
            <w:vAlign w:val="center"/>
          </w:tcPr>
          <w:p>
            <w:pPr>
              <w:keepNext w:val="0"/>
              <w:keepLines w:val="0"/>
              <w:widowControl/>
              <w:suppressLineNumbers w:val="0"/>
              <w:jc w:val="right"/>
              <w:textAlignment w:val="center"/>
              <w:rPr>
                <w:rFonts w:ascii="Times New Roman" w:cs="Times New Roman" w:hAnsi="Times New Roman"/>
                <w:color w:val="000000"/>
                <w:sz w:val="24"/>
                <w:szCs w:val="24"/>
                <w:lang w:bidi="ar-SA"/>
                <w:highlight w:val="auto"/>
              </w:rPr>
            </w:pP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上年结转</w:t>
            </w:r>
          </w:p>
        </w:tc>
        <w:tc>
          <w:tcPr>
            <w:tcW w:w="2456" w:type="dxa"/>
            <w:tcBorders>
              <w:top w:val="single" w:sz="6" w:space="0" w:color="000000"/>
              <w:left w:val="single" w:sz="6" w:space="0" w:color="000000"/>
              <w:bottom w:val="single" w:sz="6" w:space="0" w:color="000000"/>
              <w:right w:val="nil"/>
            </w:tcBorders>
            <w:noWrap/>
            <w:vAlign w:val="center"/>
          </w:tcPr>
          <w:p>
            <w:pPr>
              <w:keepNext w:val="0"/>
              <w:keepLines w:val="0"/>
              <w:widowControl/>
              <w:suppressLineNumbers w:val="0"/>
              <w:jc w:val="right"/>
              <w:textAlignment w:val="center"/>
              <w:rPr>
                <w:rFonts w:ascii="Times New Roman" w:cs="Times New Roman" w:hAnsi="Times New Roman"/>
                <w:color w:val="000000"/>
                <w:sz w:val="24"/>
                <w:szCs w:val="24"/>
                <w:lang w:bidi="ar-SA"/>
                <w:highlight w:val="auto"/>
              </w:rPr>
            </w:pP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p>
        </w:tc>
        <w:tc>
          <w:tcPr>
            <w:tcW w:w="2456" w:type="dxa"/>
            <w:tcBorders>
              <w:top w:val="single" w:sz="6" w:space="0" w:color="auto"/>
              <w:left w:val="single" w:sz="6" w:space="0" w:color="auto"/>
              <w:bottom w:val="single" w:sz="6" w:space="0" w:color="auto"/>
              <w:right w:val="single" w:sz="6" w:space="0" w:color="auto"/>
            </w:tcBorders>
            <w:noWrap/>
            <w:vAlign w:val="center"/>
          </w:tcPr>
          <w:p>
            <w:pPr>
              <w:jc w:val="right"/>
              <w:rPr>
                <w:rFonts w:ascii="Times New Roman" w:cs="Times New Roman" w:hAnsi="Times New Roman"/>
                <w:color w:val="000000"/>
                <w:sz w:val="24"/>
                <w:szCs w:val="24"/>
                <w:lang w:bidi="ar-SA"/>
                <w:highlight w:val="auto"/>
              </w:rPr>
            </w:pPr>
          </w:p>
        </w:tc>
      </w:tr>
      <w:tr>
        <w:trPr>
          <w:trHeight w:hRule="exact" w:val="509"/>
        </w:trPr>
        <w:tc>
          <w:tcPr>
            <w:tcW w:w="5951"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收入总计</w:t>
            </w:r>
          </w:p>
        </w:tc>
        <w:tc>
          <w:tcPr>
            <w:tcW w:w="2456" w:type="dxa"/>
            <w:tcBorders>
              <w:top w:val="single" w:sz="6" w:space="0" w:color="auto"/>
              <w:left w:val="single" w:sz="6" w:space="0" w:color="auto"/>
              <w:bottom w:val="single" w:sz="6" w:space="0" w:color="auto"/>
              <w:right w:val="single" w:sz="6" w:space="0" w:color="auto"/>
            </w:tcBorders>
            <w:noWrap/>
            <w:vAlign w:val="center"/>
          </w:tcPr>
          <w:p>
            <w:pPr>
              <w:keepNext w:val="0"/>
              <w:keepLines w:val="0"/>
              <w:widowControl/>
              <w:suppressLineNumbers w:val="0"/>
              <w:jc w:val="right"/>
              <w:textAlignment w:val="center"/>
              <w:rPr>
                <w:rFonts w:ascii="Times New Roman" w:eastAsia="宋体" w:cs="Times New Roman" w:hAnsi="Times New Roman"/>
                <w:color w:val="000000"/>
                <w:sz w:val="24"/>
                <w:szCs w:val="24"/>
                <w:lang w:val="en-US" w:eastAsia="zh-CN" w:bidi="ar-SA"/>
                <w:highlight w:val="auto"/>
              </w:rPr>
            </w:pPr>
            <w:r>
              <w:rPr>
                <w:rFonts w:ascii="Times New Roman" w:eastAsia="宋体" w:cs="Times New Roman" w:hAnsi="Times New Roman"/>
                <w:color w:val="000000"/>
                <w:sz w:val="24"/>
                <w:szCs w:val="24"/>
                <w:lang w:val="en-US" w:eastAsia="zh-CN" w:bidi="ar-SA"/>
                <w:highlight w:val="auto"/>
              </w:rPr>
              <w:t>3,000.00</w:t>
            </w:r>
          </w:p>
        </w:tc>
        <w:tc>
          <w:tcPr>
            <w:tcW w:w="4753" w:type="dxa"/>
            <w:tcBorders>
              <w:top w:val="single" w:sz="6" w:space="0" w:color="auto"/>
              <w:left w:val="single" w:sz="6" w:space="0" w:color="auto"/>
              <w:bottom w:val="single" w:sz="6" w:space="0" w:color="auto"/>
              <w:right w:val="single" w:sz="6" w:space="0" w:color="auto"/>
            </w:tcBorders>
            <w:noWrap/>
            <w:vAlign w:val="center"/>
          </w:tcPr>
          <w:p>
            <w:pPr>
              <w:rPr>
                <w:color w:val="000000"/>
                <w:sz w:val="24"/>
                <w:highlight w:val="auto"/>
              </w:rPr>
            </w:pPr>
            <w:r>
              <w:rPr>
                <w:color w:val="000000"/>
                <w:sz w:val="24"/>
                <w:highlight w:val="auto"/>
              </w:rPr>
              <w:t>支出总计</w:t>
            </w:r>
          </w:p>
        </w:tc>
        <w:tc>
          <w:tcPr>
            <w:tcW w:w="2456" w:type="dxa"/>
            <w:tcBorders>
              <w:top w:val="single" w:sz="6" w:space="0" w:color="auto"/>
              <w:left w:val="single" w:sz="6" w:space="0" w:color="auto"/>
              <w:bottom w:val="single" w:sz="6" w:space="0" w:color="auto"/>
              <w:right w:val="single" w:sz="6" w:space="0" w:color="auto"/>
            </w:tcBorders>
            <w:noWrap/>
            <w:vAlign w:val="center"/>
          </w:tcPr>
          <w:p>
            <w:pPr>
              <w:keepNext w:val="0"/>
              <w:keepLines w:val="0"/>
              <w:widowControl/>
              <w:suppressLineNumbers w:val="0"/>
              <w:jc w:val="right"/>
              <w:textAlignment w:val="center"/>
              <w:rPr>
                <w:rFonts w:ascii="Times New Roman" w:eastAsia="宋体" w:cs="Times New Roman" w:hAnsi="Times New Roman"/>
                <w:b w:val="0"/>
                <w:bCs w:val="0"/>
                <w:color w:val="000000"/>
                <w:kern w:val="2"/>
                <w:sz w:val="24"/>
                <w:szCs w:val="24"/>
                <w:lang w:val="en-US" w:eastAsia="zh-CN" w:bidi="ar-SA"/>
                <w:highlight w:val="auto"/>
              </w:rPr>
            </w:pPr>
            <w:r>
              <w:rPr>
                <w:rFonts w:cs="Times New Roman"/>
                <w:b w:val="0"/>
                <w:bCs w:val="0"/>
                <w:color w:val="000000"/>
                <w:sz w:val="24"/>
                <w:szCs w:val="24"/>
                <w:lang w:val="en-US" w:eastAsia="zh-CN" w:bidi="ar-SA"/>
                <w:highlight w:val="auto"/>
              </w:rPr>
              <w:t>3,000.00</w:t>
            </w:r>
          </w:p>
        </w:tc>
      </w:tr>
    </w:tbl>
    <w:p>
      <w:pPr>
        <w:widowControl/>
        <w:spacing w:line="160" w:lineRule="atLeast"/>
        <w:rPr>
          <w:rFonts w:cs="宋体" w:hint="eastAsia"/>
          <w:kern w:val="0"/>
          <w:sz w:val="15"/>
          <w:szCs w:val="15"/>
          <w:lang w:bidi="ar-SA"/>
          <w:highlight w:val="auto"/>
        </w:rPr>
      </w:pPr>
    </w:p>
    <w:p>
      <w:pPr>
        <w:rPr>
          <w:highlight w:val="auto"/>
        </w:rPr>
      </w:pPr>
      <w:r>
        <w:rPr>
          <w:rFonts w:hint="eastAsia"/>
          <w:sz w:val="20"/>
          <w:szCs w:val="20"/>
          <w:highlight w:val="auto"/>
        </w:rPr>
        <w:br w:type="page"/>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77"/>
        <w:gridCol w:w="1777"/>
        <w:gridCol w:w="1777"/>
        <w:gridCol w:w="10284"/>
      </w:tblGrid>
      <w:tr>
        <w:trPr>
          <w:trHeight w:val="170"/>
        </w:trPr>
        <w:tc>
          <w:tcPr>
            <w:tcW w:w="1777" w:type="dxa"/>
            <w:tcBorders>
              <w:top w:val="nil"/>
              <w:left w:val="nil"/>
              <w:bottom w:val="nil"/>
              <w:right w:val="nil"/>
            </w:tcBorders>
            <w:noWrap/>
            <w:vAlign w:val="center"/>
          </w:tcPr>
          <w:p>
            <w:pPr>
              <w:rPr>
                <w:rFonts w:hint="eastAsia"/>
                <w:sz w:val="20"/>
                <w:highlight w:val="auto"/>
              </w:rPr>
            </w:pPr>
          </w:p>
        </w:tc>
        <w:tc>
          <w:tcPr>
            <w:tcW w:w="1777" w:type="dxa"/>
            <w:tcBorders>
              <w:top w:val="nil"/>
              <w:left w:val="nil"/>
              <w:bottom w:val="nil"/>
              <w:right w:val="nil"/>
            </w:tcBorders>
            <w:noWrap/>
            <w:vAlign w:val="center"/>
          </w:tcPr>
          <w:p>
            <w:pPr>
              <w:rPr>
                <w:rFonts w:hint="eastAsia"/>
                <w:sz w:val="16"/>
                <w:highlight w:val="auto"/>
              </w:rPr>
            </w:pPr>
          </w:p>
        </w:tc>
        <w:tc>
          <w:tcPr>
            <w:tcW w:w="1777" w:type="dxa"/>
            <w:tcBorders>
              <w:top w:val="nil"/>
              <w:left w:val="nil"/>
              <w:bottom w:val="nil"/>
              <w:right w:val="nil"/>
            </w:tcBorders>
            <w:noWrap/>
            <w:vAlign w:val="center"/>
          </w:tcPr>
          <w:p>
            <w:pPr>
              <w:rPr>
                <w:rFonts w:hint="eastAsia"/>
                <w:sz w:val="16"/>
                <w:highlight w:val="auto"/>
              </w:rPr>
            </w:pPr>
          </w:p>
        </w:tc>
        <w:tc>
          <w:tcPr>
            <w:tcW w:w="10284" w:type="dxa"/>
            <w:tcBorders>
              <w:top w:val="nil"/>
              <w:left w:val="nil"/>
              <w:bottom w:val="nil"/>
              <w:right w:val="nil"/>
            </w:tcBorders>
            <w:noWrap/>
            <w:vAlign w:val="center"/>
          </w:tcPr>
          <w:p>
            <w:pPr>
              <w:jc w:val="right"/>
              <w:rPr>
                <w:rFonts w:hint="eastAsia"/>
                <w:szCs w:val="21"/>
                <w:highlight w:val="auto"/>
              </w:rPr>
            </w:pPr>
            <w:r>
              <w:rPr>
                <w:rFonts w:ascii="黑体" w:eastAsia="黑体" w:cs="黑体" w:hint="eastAsia"/>
                <w:sz w:val="20"/>
                <w:szCs w:val="20"/>
                <w:lang w:bidi="ar-SA"/>
                <w:highlight w:val="auto"/>
              </w:rPr>
              <w:t>部门公开表2</w:t>
            </w:r>
          </w:p>
        </w:tc>
      </w:tr>
    </w:tbl>
    <w:p>
      <w:pPr>
        <w:jc w:val="center"/>
        <w:rPr>
          <w:rFonts w:cs="Microsoft JhengHei" w:hint="eastAsia"/>
          <w:sz w:val="28"/>
          <w:szCs w:val="28"/>
          <w:lang w:bidi="ar-SA"/>
          <w:highlight w:val="auto"/>
        </w:rPr>
      </w:pPr>
      <w:r>
        <w:rPr>
          <w:rFonts w:cs="Microsoft JhengHei" w:hint="eastAsia"/>
          <w:b/>
          <w:snapToGrid w:val="0"/>
          <w:color w:val="000000"/>
          <w:sz w:val="36"/>
          <w:szCs w:val="36"/>
          <w:lang w:bidi="ar-SA"/>
          <w:highlight w:val="auto"/>
        </w:rPr>
        <w:t>部门收入总表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539"/>
        <w:gridCol w:w="13077"/>
      </w:tblGrid>
      <w:tr>
        <w:trPr>
          <w:trHeight w:hRule="exact" w:val="509"/>
        </w:trPr>
        <w:tc>
          <w:tcPr>
            <w:tcW w:w="2539" w:type="dxa"/>
            <w:tcBorders>
              <w:top w:val="nil"/>
              <w:left w:val="nil"/>
              <w:bottom w:val="nil"/>
              <w:right w:val="nil"/>
            </w:tcBorders>
            <w:noWrap/>
            <w:vAlign w:val="center"/>
          </w:tcPr>
          <w:p>
            <w:pPr>
              <w:pStyle w:val="19"/>
              <w:rPr>
                <w:rFonts w:hint="eastAsia"/>
                <w:color w:val="000000"/>
                <w:szCs w:val="21"/>
                <w:highlight w:val="auto"/>
              </w:rPr>
            </w:pPr>
          </w:p>
        </w:tc>
        <w:tc>
          <w:tcPr>
            <w:tcW w:w="13077" w:type="dxa"/>
            <w:tcBorders>
              <w:top w:val="nil"/>
              <w:left w:val="nil"/>
              <w:bottom w:val="nil"/>
              <w:right w:val="nil"/>
            </w:tcBorders>
            <w:noWrap/>
            <w:vAlign w:val="center"/>
          </w:tcPr>
          <w:p>
            <w:pPr>
              <w:pStyle w:val="20"/>
              <w:jc w:val="right"/>
              <w:rPr>
                <w:rFonts w:hint="eastAsia"/>
                <w:color w:val="000000"/>
                <w:szCs w:val="21"/>
                <w:highlight w:val="auto"/>
              </w:rPr>
            </w:pPr>
            <w:r>
              <w:rPr>
                <w:rFonts w:hint="eastAsia"/>
                <w:color w:val="000000"/>
                <w:sz w:val="20"/>
                <w:szCs w:val="20"/>
                <w:highlight w:val="auto"/>
              </w:rPr>
              <w:t>单位：万元</w:t>
            </w:r>
          </w:p>
        </w:tc>
      </w:tr>
    </w:tbl>
    <w:p>
      <w:pPr>
        <w:pStyle w:val="21"/>
        <w:spacing w:line="94" w:lineRule="auto"/>
        <w:rPr>
          <w:rFonts w:ascii="Times New Roman" w:eastAsia="宋体" w:hAnsi="Times New Roman"/>
          <w:sz w:val="2"/>
          <w:highlight w:val="auto"/>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923"/>
        <w:gridCol w:w="1237"/>
        <w:gridCol w:w="800"/>
        <w:gridCol w:w="1118"/>
        <w:gridCol w:w="1411"/>
        <w:gridCol w:w="1605"/>
      </w:tblGrid>
      <w:tr>
        <w:trPr>
          <w:trHeight w:val="325"/>
        </w:trPr>
        <w:tc>
          <w:tcPr>
            <w:tcW w:w="1822" w:type="dxa"/>
            <w:vMerge w:val="restart"/>
            <w:tcBorders>
              <w:bottom w:val="nil"/>
            </w:tcBorders>
            <w:noWrap/>
            <w:vAlign w:val="center"/>
          </w:tcPr>
          <w:p>
            <w:pPr>
              <w:pStyle w:val="21"/>
              <w:spacing w:before="7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合计</w:t>
            </w:r>
          </w:p>
        </w:tc>
        <w:tc>
          <w:tcPr>
            <w:tcW w:w="1389" w:type="dxa"/>
            <w:vMerge w:val="restart"/>
            <w:tcBorders>
              <w:bottom w:val="nil"/>
            </w:tcBorders>
            <w:noWrap/>
            <w:vAlign w:val="center"/>
          </w:tcPr>
          <w:p>
            <w:pPr>
              <w:pStyle w:val="21"/>
              <w:spacing w:before="7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上年结转</w:t>
            </w:r>
          </w:p>
        </w:tc>
        <w:tc>
          <w:tcPr>
            <w:tcW w:w="1822" w:type="dxa"/>
            <w:vMerge w:val="restart"/>
            <w:tcBorders>
              <w:bottom w:val="nil"/>
            </w:tcBorders>
            <w:noWrap/>
            <w:vAlign w:val="center"/>
          </w:tcPr>
          <w:p>
            <w:pPr>
              <w:pStyle w:val="21"/>
              <w:spacing w:before="77"/>
              <w:ind w:right="175"/>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 xml:space="preserve">  一般公共预</w:t>
            </w:r>
            <w:r>
              <w:rPr>
                <w:rFonts w:ascii="Times New Roman" w:eastAsia="宋体" w:cs="Microsoft JhengHei" w:hAnsi="Times New Roman" w:hint="eastAsia"/>
                <w:spacing w:val="-2"/>
                <w:sz w:val="24"/>
                <w:szCs w:val="24"/>
                <w:lang w:bidi="ar-SA"/>
                <w:highlight w:val="auto"/>
              </w:rPr>
              <w:t>算拨款收入</w:t>
            </w:r>
          </w:p>
        </w:tc>
        <w:tc>
          <w:tcPr>
            <w:tcW w:w="1533" w:type="dxa"/>
            <w:vMerge w:val="restart"/>
            <w:tcBorders>
              <w:bottom w:val="nil"/>
            </w:tcBorders>
            <w:noWrap/>
            <w:vAlign w:val="center"/>
          </w:tcPr>
          <w:p>
            <w:pPr>
              <w:pStyle w:val="21"/>
              <w:spacing w:before="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政府性基金预算拨款收入</w:t>
            </w:r>
          </w:p>
        </w:tc>
        <w:tc>
          <w:tcPr>
            <w:tcW w:w="1011" w:type="dxa"/>
            <w:vMerge w:val="restart"/>
            <w:tcBorders>
              <w:bottom w:val="nil"/>
            </w:tcBorders>
            <w:noWrap/>
            <w:vAlign w:val="center"/>
          </w:tcPr>
          <w:p>
            <w:pPr>
              <w:pStyle w:val="21"/>
              <w:spacing w:before="61" w:line="218" w:lineRule="auto"/>
              <w:ind w:left="139" w:right="138" w:firstLine="14"/>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6"/>
                <w:sz w:val="24"/>
                <w:szCs w:val="24"/>
                <w:lang w:bidi="ar-SA"/>
                <w:highlight w:val="auto"/>
              </w:rPr>
              <w:t>国有资</w:t>
            </w:r>
            <w:r>
              <w:rPr>
                <w:rFonts w:ascii="Times New Roman" w:eastAsia="宋体" w:cs="Microsoft JhengHei" w:hAnsi="Times New Roman" w:hint="eastAsia"/>
                <w:spacing w:val="-2"/>
                <w:sz w:val="24"/>
                <w:szCs w:val="24"/>
                <w:lang w:bidi="ar-SA"/>
                <w:highlight w:val="auto"/>
              </w:rPr>
              <w:t>本经</w:t>
            </w:r>
            <w:r>
              <w:rPr>
                <w:rFonts w:ascii="Times New Roman" w:eastAsia="宋体" w:cs="Microsoft JhengHei" w:hAnsi="Times New Roman"/>
                <w:spacing w:val="2"/>
                <w:sz w:val="24"/>
                <w:szCs w:val="24"/>
                <w:lang w:bidi="ar-SA"/>
                <w:highlight w:val="auto"/>
              </w:rPr>
              <w:t>营</w:t>
            </w:r>
            <w:r>
              <w:rPr>
                <w:rFonts w:ascii="Times New Roman" w:eastAsia="宋体" w:cs="Microsoft JhengHei" w:hAnsi="Times New Roman" w:hint="eastAsia"/>
                <w:spacing w:val="-2"/>
                <w:sz w:val="24"/>
                <w:szCs w:val="24"/>
                <w:lang w:bidi="ar-SA"/>
                <w:highlight w:val="auto"/>
              </w:rPr>
              <w:t>预算拨款收入</w:t>
            </w:r>
          </w:p>
        </w:tc>
        <w:tc>
          <w:tcPr>
            <w:tcW w:w="2023" w:type="dxa"/>
            <w:gridSpan w:val="2"/>
            <w:tcBorders>
              <w:left w:val="single" w:sz="4" w:space="0" w:color="000000"/>
              <w:right w:val="single" w:sz="4" w:space="0" w:color="000000"/>
            </w:tcBorders>
            <w:noWrap/>
            <w:vAlign w:val="center"/>
          </w:tcPr>
          <w:p>
            <w:pPr>
              <w:pStyle w:val="21"/>
              <w:spacing w:before="58" w:line="180" w:lineRule="auto"/>
              <w:ind w:firstLine="609"/>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事业收入</w:t>
            </w:r>
          </w:p>
        </w:tc>
        <w:tc>
          <w:tcPr>
            <w:tcW w:w="1237" w:type="dxa"/>
            <w:vMerge w:val="restart"/>
            <w:tcBorders>
              <w:bottom w:val="nil"/>
            </w:tcBorders>
            <w:noWrap/>
            <w:vAlign w:val="center"/>
          </w:tcPr>
          <w:p>
            <w:pPr>
              <w:pStyle w:val="21"/>
              <w:spacing w:before="77"/>
              <w:ind w:right="128"/>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 xml:space="preserve"> 事业单位</w:t>
            </w:r>
            <w:r>
              <w:rPr>
                <w:rFonts w:ascii="Times New Roman" w:eastAsia="宋体" w:cs="Microsoft JhengHei" w:hAnsi="Times New Roman" w:hint="eastAsia"/>
                <w:spacing w:val="-2"/>
                <w:sz w:val="24"/>
                <w:szCs w:val="24"/>
                <w:lang w:bidi="ar-SA"/>
                <w:highlight w:val="auto"/>
              </w:rPr>
              <w:t>经营收入</w:t>
            </w:r>
          </w:p>
        </w:tc>
        <w:tc>
          <w:tcPr>
            <w:tcW w:w="800" w:type="dxa"/>
            <w:vMerge w:val="restart"/>
            <w:tcBorders>
              <w:bottom w:val="nil"/>
            </w:tcBorders>
            <w:noWrap/>
            <w:vAlign w:val="center"/>
          </w:tcPr>
          <w:p>
            <w:pPr>
              <w:pStyle w:val="21"/>
              <w:spacing w:before="77"/>
              <w:ind w:right="133"/>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上级补助</w:t>
            </w:r>
            <w:r>
              <w:rPr>
                <w:rFonts w:ascii="Times New Roman" w:eastAsia="宋体" w:cs="Microsoft JhengHei" w:hAnsi="Times New Roman" w:hint="eastAsia"/>
                <w:spacing w:val="-2"/>
                <w:sz w:val="24"/>
                <w:szCs w:val="24"/>
                <w:lang w:bidi="ar-SA"/>
                <w:highlight w:val="auto"/>
              </w:rPr>
              <w:t>收入</w:t>
            </w:r>
          </w:p>
        </w:tc>
        <w:tc>
          <w:tcPr>
            <w:tcW w:w="1118" w:type="dxa"/>
            <w:vMerge w:val="restart"/>
            <w:tcBorders>
              <w:bottom w:val="nil"/>
            </w:tcBorders>
            <w:noWrap/>
            <w:vAlign w:val="center"/>
          </w:tcPr>
          <w:p>
            <w:pPr>
              <w:pStyle w:val="21"/>
              <w:spacing w:before="61" w:line="218" w:lineRule="auto"/>
              <w:ind w:left="118" w:right="106" w:firstLine="5"/>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spacing w:val="-7"/>
                <w:sz w:val="24"/>
                <w:szCs w:val="24"/>
                <w:lang w:bidi="ar-SA"/>
                <w:highlight w:val="auto"/>
              </w:rPr>
              <w:t>附属</w:t>
            </w:r>
            <w:r>
              <w:rPr>
                <w:rFonts w:ascii="Times New Roman" w:eastAsia="宋体" w:cs="Microsoft JhengHei" w:hAnsi="Times New Roman" w:hint="eastAsia"/>
                <w:spacing w:val="-4"/>
                <w:sz w:val="24"/>
                <w:szCs w:val="24"/>
                <w:lang w:bidi="ar-SA"/>
                <w:highlight w:val="auto"/>
              </w:rPr>
              <w:t>单位上缴收入</w:t>
            </w:r>
          </w:p>
        </w:tc>
        <w:tc>
          <w:tcPr>
            <w:tcW w:w="1411" w:type="dxa"/>
            <w:vMerge w:val="restart"/>
            <w:tcBorders>
              <w:bottom w:val="nil"/>
            </w:tcBorders>
            <w:noWrap/>
            <w:vAlign w:val="center"/>
          </w:tcPr>
          <w:p>
            <w:pPr>
              <w:pStyle w:val="21"/>
              <w:spacing w:before="7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其他收入</w:t>
            </w:r>
          </w:p>
        </w:tc>
        <w:tc>
          <w:tcPr>
            <w:tcW w:w="1605" w:type="dxa"/>
            <w:vMerge w:val="restart"/>
            <w:tcBorders>
              <w:left w:val="single" w:sz="4" w:space="0" w:color="000000"/>
              <w:right w:val="single" w:sz="4" w:space="0" w:color="000000"/>
            </w:tcBorders>
            <w:noWrap/>
            <w:vAlign w:val="center"/>
          </w:tcPr>
          <w:p>
            <w:pPr>
              <w:pStyle w:val="22"/>
              <w:spacing w:before="77"/>
              <w:ind w:right="131"/>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使用非财政拨款结余</w:t>
            </w:r>
          </w:p>
        </w:tc>
      </w:tr>
      <w:tr>
        <w:trPr>
          <w:trHeight w:val="650"/>
        </w:trPr>
        <w:tc>
          <w:tcPr>
            <w:tcW w:w="1822" w:type="dxa"/>
            <w:vMerge/>
            <w:tcBorders>
              <w:top w:val="nil"/>
            </w:tcBorders>
            <w:noWrap/>
            <w:vAlign w:val="center"/>
          </w:tcPr>
          <w:p/>
        </w:tc>
        <w:tc>
          <w:tcPr>
            <w:tcW w:w="1389" w:type="dxa"/>
            <w:vMerge/>
            <w:tcBorders>
              <w:top w:val="nil"/>
            </w:tcBorders>
            <w:noWrap/>
            <w:vAlign w:val="center"/>
          </w:tcPr>
          <w:p/>
        </w:tc>
        <w:tc>
          <w:tcPr>
            <w:tcW w:w="1822" w:type="dxa"/>
            <w:vMerge/>
            <w:tcBorders>
              <w:top w:val="nil"/>
            </w:tcBorders>
            <w:noWrap/>
            <w:vAlign w:val="center"/>
          </w:tcPr>
          <w:p/>
        </w:tc>
        <w:tc>
          <w:tcPr>
            <w:tcW w:w="1533" w:type="dxa"/>
            <w:vMerge/>
            <w:tcBorders>
              <w:top w:val="nil"/>
            </w:tcBorders>
            <w:noWrap/>
            <w:vAlign w:val="center"/>
          </w:tcPr>
          <w:p/>
        </w:tc>
        <w:tc>
          <w:tcPr>
            <w:tcW w:w="1011" w:type="dxa"/>
            <w:vMerge/>
            <w:tcBorders>
              <w:top w:val="nil"/>
            </w:tcBorders>
            <w:noWrap/>
            <w:vAlign w:val="center"/>
          </w:tcPr>
          <w:p/>
        </w:tc>
        <w:tc>
          <w:tcPr>
            <w:tcW w:w="1100" w:type="dxa"/>
            <w:tcBorders>
              <w:left w:val="single" w:sz="4" w:space="0" w:color="000000"/>
              <w:right w:val="single" w:sz="4" w:space="0" w:color="000000"/>
            </w:tcBorders>
            <w:noWrap/>
            <w:vAlign w:val="center"/>
          </w:tcPr>
          <w:p>
            <w:pPr>
              <w:pStyle w:val="21"/>
              <w:spacing w:before="77"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金额</w:t>
            </w:r>
          </w:p>
        </w:tc>
        <w:tc>
          <w:tcPr>
            <w:tcW w:w="923" w:type="dxa"/>
            <w:tcBorders>
              <w:left w:val="single" w:sz="4" w:space="0" w:color="000000"/>
              <w:right w:val="single" w:sz="4" w:space="0" w:color="000000"/>
            </w:tcBorders>
            <w:noWrap/>
            <w:vAlign w:val="center"/>
          </w:tcPr>
          <w:p>
            <w:pPr>
              <w:pStyle w:val="21"/>
              <w:spacing w:before="200"/>
              <w:ind w:left="172" w:right="131" w:hanging="27"/>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1"/>
                <w:sz w:val="24"/>
                <w:szCs w:val="24"/>
                <w:lang w:bidi="ar-SA"/>
                <w:highlight w:val="auto"/>
              </w:rPr>
              <w:t>其中</w:t>
            </w:r>
            <w:r>
              <w:rPr>
                <w:rFonts w:ascii="Times New Roman" w:eastAsia="宋体" w:cs="Microsoft JhengHei" w:hAnsi="Times New Roman"/>
                <w:spacing w:val="-1"/>
                <w:sz w:val="24"/>
                <w:szCs w:val="24"/>
                <w:lang w:bidi="ar-SA"/>
                <w:highlight w:val="auto"/>
              </w:rPr>
              <w:t>：</w:t>
            </w:r>
            <w:r>
              <w:rPr>
                <w:rFonts w:ascii="Times New Roman" w:eastAsia="宋体" w:cs="Microsoft JhengHei" w:hAnsi="Times New Roman" w:hint="eastAsia"/>
                <w:spacing w:val="-1"/>
                <w:sz w:val="24"/>
                <w:szCs w:val="24"/>
                <w:lang w:bidi="ar-SA"/>
                <w:highlight w:val="auto"/>
              </w:rPr>
              <w:t>教</w:t>
            </w:r>
            <w:r>
              <w:rPr>
                <w:rFonts w:ascii="Times New Roman" w:eastAsia="宋体" w:cs="Microsoft JhengHei" w:hAnsi="Times New Roman" w:hint="eastAsia"/>
                <w:spacing w:val="-3"/>
                <w:sz w:val="24"/>
                <w:szCs w:val="24"/>
                <w:lang w:bidi="ar-SA"/>
                <w:highlight w:val="auto"/>
              </w:rPr>
              <w:t>育收费</w:t>
            </w:r>
          </w:p>
        </w:tc>
        <w:tc>
          <w:tcPr>
            <w:tcW w:w="1237" w:type="dxa"/>
            <w:vMerge/>
            <w:tcBorders>
              <w:top w:val="nil"/>
            </w:tcBorders>
            <w:noWrap/>
          </w:tcPr>
          <w:p/>
        </w:tc>
        <w:tc>
          <w:tcPr>
            <w:tcW w:w="800" w:type="dxa"/>
            <w:vMerge/>
            <w:tcBorders>
              <w:top w:val="nil"/>
            </w:tcBorders>
            <w:noWrap/>
          </w:tcPr>
          <w:p/>
        </w:tc>
        <w:tc>
          <w:tcPr>
            <w:tcW w:w="1118" w:type="dxa"/>
            <w:vMerge/>
            <w:tcBorders>
              <w:top w:val="nil"/>
            </w:tcBorders>
            <w:noWrap/>
          </w:tcPr>
          <w:p/>
        </w:tc>
        <w:tc>
          <w:tcPr>
            <w:tcW w:w="1411" w:type="dxa"/>
            <w:vMerge/>
            <w:tcBorders>
              <w:top w:val="nil"/>
            </w:tcBorders>
            <w:noWrap/>
          </w:tcPr>
          <w:p/>
        </w:tc>
        <w:tc>
          <w:tcPr>
            <w:tcW w:w="1605" w:type="dxa"/>
            <w:vMerge/>
            <w:tcBorders>
              <w:left w:val="single" w:sz="4" w:space="0" w:color="000000"/>
              <w:right w:val="single" w:sz="4" w:space="0" w:color="000000"/>
            </w:tcBorders>
            <w:noWrap/>
          </w:tcPr>
          <w:p/>
        </w:tc>
      </w:tr>
      <w:tr>
        <w:trPr>
          <w:trHeight w:val="847"/>
        </w:trPr>
        <w:tc>
          <w:tcPr>
            <w:tcW w:w="1822" w:type="dxa"/>
            <w:tcBorders>
              <w:left w:val="single" w:sz="4" w:space="0" w:color="000000"/>
              <w:right w:val="single" w:sz="4" w:space="0" w:color="000000"/>
            </w:tcBorders>
            <w:noWrap/>
            <w:vAlign w:val="center"/>
          </w:tcPr>
          <w:p>
            <w:pPr>
              <w:widowControl/>
              <w:jc w:val="center"/>
              <w:rPr>
                <w:rFonts w:eastAsia="宋体"/>
                <w:color w:val="000000"/>
                <w:kern w:val="2"/>
                <w:sz w:val="24"/>
                <w:u w:val="none"/>
                <w:lang w:val="en-US" w:eastAsia="zh-CN" w:bidi="ar-SA"/>
              </w:rPr>
            </w:pPr>
            <w:r>
              <w:rPr>
                <w:kern w:val="0"/>
                <w:sz w:val="24"/>
              </w:rPr>
              <w:t>3,000.00</w:t>
            </w:r>
          </w:p>
        </w:tc>
        <w:tc>
          <w:tcPr>
            <w:tcW w:w="1389" w:type="dxa"/>
            <w:tcBorders>
              <w:left w:val="single" w:sz="4" w:space="0" w:color="000000"/>
              <w:right w:val="single" w:sz="4" w:space="0" w:color="000000"/>
            </w:tcBorders>
            <w:noWrap/>
            <w:vAlign w:val="center"/>
          </w:tcPr>
          <w:p>
            <w:pPr>
              <w:widowControl/>
              <w:jc w:val="center"/>
              <w:rPr>
                <w:rFonts w:eastAsia="宋体"/>
                <w:color w:val="000000"/>
                <w:kern w:val="2"/>
                <w:sz w:val="24"/>
                <w:u w:val="none"/>
                <w:lang w:val="en-US" w:eastAsia="zh-CN" w:bidi="ar-SA"/>
              </w:rPr>
            </w:pPr>
          </w:p>
        </w:tc>
        <w:tc>
          <w:tcPr>
            <w:tcW w:w="1822" w:type="dxa"/>
            <w:tcBorders>
              <w:left w:val="single" w:sz="4" w:space="0" w:color="000000"/>
              <w:right w:val="single" w:sz="4" w:space="0" w:color="000000"/>
            </w:tcBorders>
            <w:noWrap/>
            <w:vAlign w:val="center"/>
          </w:tcPr>
          <w:p>
            <w:pPr>
              <w:widowControl/>
              <w:jc w:val="center"/>
              <w:rPr>
                <w:rFonts w:eastAsia="宋体"/>
                <w:color w:val="000000"/>
                <w:kern w:val="2"/>
                <w:sz w:val="24"/>
                <w:u w:val="none"/>
                <w:lang w:val="en-US" w:eastAsia="zh-CN" w:bidi="ar-SA"/>
              </w:rPr>
            </w:pPr>
          </w:p>
        </w:tc>
        <w:tc>
          <w:tcPr>
            <w:tcW w:w="1533" w:type="dxa"/>
            <w:tcBorders>
              <w:left w:val="single" w:sz="4" w:space="0" w:color="000000"/>
              <w:right w:val="single" w:sz="4" w:space="0" w:color="000000"/>
            </w:tcBorders>
            <w:noWrap/>
            <w:vAlign w:val="center"/>
          </w:tcPr>
          <w:p>
            <w:pPr>
              <w:widowControl/>
              <w:jc w:val="center"/>
              <w:rPr>
                <w:rFonts w:eastAsia="宋体"/>
                <w:sz w:val="24"/>
                <w:lang w:bidi="ar-SA"/>
                <w:highlight w:val="auto"/>
              </w:rPr>
            </w:pPr>
          </w:p>
        </w:tc>
        <w:tc>
          <w:tcPr>
            <w:tcW w:w="1011" w:type="dxa"/>
            <w:tcBorders>
              <w:left w:val="single" w:sz="4" w:space="0" w:color="000000"/>
              <w:right w:val="single" w:sz="4" w:space="0" w:color="000000"/>
            </w:tcBorders>
            <w:noWrap/>
            <w:vAlign w:val="center"/>
          </w:tcPr>
          <w:p>
            <w:pPr>
              <w:widowControl/>
              <w:jc w:val="center"/>
              <w:rPr>
                <w:rFonts w:eastAsia="宋体"/>
                <w:sz w:val="24"/>
                <w:lang w:bidi="ar-SA"/>
                <w:highlight w:val="auto"/>
              </w:rPr>
            </w:pPr>
          </w:p>
        </w:tc>
        <w:tc>
          <w:tcPr>
            <w:tcW w:w="1100" w:type="dxa"/>
            <w:tcBorders>
              <w:left w:val="single" w:sz="4" w:space="0" w:color="000000"/>
              <w:right w:val="single" w:sz="4" w:space="0" w:color="000000"/>
            </w:tcBorders>
            <w:noWrap/>
            <w:vAlign w:val="center"/>
          </w:tcPr>
          <w:p>
            <w:pPr>
              <w:widowControl/>
              <w:jc w:val="center"/>
              <w:rPr>
                <w:rFonts w:eastAsia="宋体"/>
                <w:color w:val="FF0000"/>
                <w:kern w:val="2"/>
                <w:sz w:val="24"/>
                <w:u w:val="none"/>
                <w:lang w:val="en-US" w:eastAsia="zh-CN" w:bidi="ar-SA"/>
              </w:rPr>
            </w:pPr>
            <w:r>
              <w:rPr>
                <w:kern w:val="0"/>
                <w:sz w:val="24"/>
              </w:rPr>
              <w:t>1,199.00</w:t>
            </w:r>
          </w:p>
        </w:tc>
        <w:tc>
          <w:tcPr>
            <w:tcW w:w="923" w:type="dxa"/>
            <w:tcBorders>
              <w:left w:val="single" w:sz="4" w:space="0" w:color="000000"/>
              <w:right w:val="single" w:sz="4" w:space="0" w:color="000000"/>
            </w:tcBorders>
            <w:noWrap/>
            <w:vAlign w:val="center"/>
          </w:tcPr>
          <w:p>
            <w:pPr>
              <w:widowControl/>
              <w:jc w:val="center"/>
              <w:rPr>
                <w:rFonts w:eastAsia="宋体"/>
                <w:sz w:val="24"/>
                <w:lang w:bidi="ar-SA"/>
                <w:highlight w:val="auto"/>
              </w:rPr>
            </w:pPr>
          </w:p>
        </w:tc>
        <w:tc>
          <w:tcPr>
            <w:tcW w:w="1237" w:type="dxa"/>
            <w:tcBorders>
              <w:left w:val="single" w:sz="4" w:space="0" w:color="000000"/>
              <w:right w:val="single" w:sz="4" w:space="0" w:color="000000"/>
            </w:tcBorders>
            <w:noWrap/>
            <w:vAlign w:val="center"/>
          </w:tcPr>
          <w:p>
            <w:pPr>
              <w:widowControl/>
              <w:jc w:val="center"/>
              <w:rPr>
                <w:rFonts w:eastAsia="宋体"/>
                <w:color w:val="000000"/>
                <w:kern w:val="2"/>
                <w:sz w:val="24"/>
                <w:u w:val="none"/>
                <w:lang w:val="en-US" w:eastAsia="zh-CN" w:bidi="ar-SA"/>
              </w:rPr>
            </w:pPr>
            <w:r>
              <w:rPr>
                <w:rFonts w:eastAsia="宋体"/>
                <w:color w:val="000000"/>
                <w:kern w:val="2"/>
                <w:sz w:val="24"/>
                <w:u w:val="none"/>
                <w:lang w:val="en-US" w:eastAsia="zh-CN" w:bidi="ar-SA"/>
              </w:rPr>
              <w:t>1,800.00</w:t>
            </w:r>
          </w:p>
        </w:tc>
        <w:tc>
          <w:tcPr>
            <w:tcW w:w="800" w:type="dxa"/>
            <w:tcBorders>
              <w:left w:val="single" w:sz="4" w:space="0" w:color="000000"/>
              <w:right w:val="single" w:sz="4" w:space="0" w:color="000000"/>
            </w:tcBorders>
            <w:noWrap/>
            <w:vAlign w:val="center"/>
          </w:tcPr>
          <w:p>
            <w:pPr>
              <w:widowControl/>
              <w:jc w:val="center"/>
              <w:rPr>
                <w:rFonts w:eastAsia="宋体"/>
                <w:b/>
                <w:sz w:val="24"/>
                <w:lang w:bidi="ar-SA"/>
                <w:highlight w:val="auto"/>
              </w:rPr>
            </w:pPr>
          </w:p>
        </w:tc>
        <w:tc>
          <w:tcPr>
            <w:tcW w:w="1118" w:type="dxa"/>
            <w:tcBorders>
              <w:left w:val="single" w:sz="4" w:space="0" w:color="000000"/>
              <w:right w:val="single" w:sz="4" w:space="0" w:color="000000"/>
            </w:tcBorders>
            <w:noWrap/>
            <w:vAlign w:val="center"/>
          </w:tcPr>
          <w:p>
            <w:pPr>
              <w:widowControl/>
              <w:jc w:val="center"/>
              <w:rPr>
                <w:rFonts w:eastAsia="宋体"/>
                <w:b/>
                <w:sz w:val="24"/>
                <w:lang w:bidi="ar-SA"/>
                <w:highlight w:val="auto"/>
              </w:rPr>
            </w:pPr>
          </w:p>
        </w:tc>
        <w:tc>
          <w:tcPr>
            <w:tcW w:w="1411" w:type="dxa"/>
            <w:tcBorders>
              <w:left w:val="single" w:sz="4" w:space="0" w:color="000000"/>
              <w:right w:val="single" w:sz="4" w:space="0" w:color="000000"/>
            </w:tcBorders>
            <w:noWrap/>
            <w:vAlign w:val="center"/>
          </w:tcPr>
          <w:p>
            <w:pPr>
              <w:widowControl/>
              <w:jc w:val="center"/>
              <w:rPr>
                <w:rFonts w:eastAsia="宋体"/>
                <w:b/>
                <w:sz w:val="24"/>
                <w:lang w:bidi="ar-SA"/>
                <w:highlight w:val="auto"/>
              </w:rPr>
            </w:pPr>
            <w:r>
              <w:rPr>
                <w:rFonts w:eastAsia="宋体"/>
                <w:b/>
                <w:sz w:val="24"/>
                <w:lang w:bidi="ar-SA"/>
                <w:highlight w:val="auto"/>
              </w:rPr>
              <w:t>1.00</w:t>
            </w:r>
          </w:p>
        </w:tc>
        <w:tc>
          <w:tcPr>
            <w:tcW w:w="1605" w:type="dxa"/>
            <w:tcBorders>
              <w:left w:val="single" w:sz="4" w:space="0" w:color="000000"/>
              <w:right w:val="single" w:sz="4" w:space="0" w:color="000000"/>
            </w:tcBorders>
            <w:noWrap/>
            <w:vAlign w:val="center"/>
          </w:tcPr>
          <w:p>
            <w:pPr>
              <w:widowControl/>
              <w:jc w:val="center"/>
              <w:rPr>
                <w:rFonts w:eastAsia="宋体"/>
                <w:b/>
                <w:color w:val="FF0000"/>
                <w:sz w:val="24"/>
                <w:lang w:bidi="ar-SA"/>
                <w:highlight w:val="auto"/>
              </w:rPr>
            </w:pPr>
          </w:p>
        </w:tc>
      </w:tr>
    </w:tbl>
    <w:p>
      <w:pPr>
        <w:pStyle w:val="21"/>
        <w:rPr>
          <w:rFonts w:ascii="Times New Roman" w:eastAsia="宋体" w:hAnsi="Times New Roman"/>
          <w:highlight w:val="auto"/>
        </w:rPr>
        <w:sectPr>
          <w:pgSz w:w="16840" w:h="11907"/>
          <w:pgMar w:top="907" w:right="720" w:bottom="680" w:left="720" w:header="0" w:footer="0" w:gutter="0"/>
          <w:docGrid w:linePitch="285" w:charSpace="0"/>
        </w:sectPr>
      </w:pPr>
    </w:p>
    <w:p>
      <w:pPr>
        <w:jc w:val="right"/>
        <w:rPr>
          <w:rFonts w:ascii="方正黑体_GBK" w:eastAsia="方正黑体_GBK" w:cs="方正黑体_GBK" w:hint="eastAsia"/>
          <w:sz w:val="20"/>
          <w:szCs w:val="20"/>
          <w:lang w:bidi="ar-SA"/>
          <w:highlight w:val="auto"/>
        </w:rPr>
      </w:pPr>
      <w:r>
        <w:rPr>
          <w:rFonts w:ascii="黑体" w:eastAsia="黑体" w:cs="黑体" w:hint="eastAsia"/>
          <w:sz w:val="20"/>
          <w:szCs w:val="20"/>
          <w:lang w:bidi="ar-SA"/>
          <w:highlight w:val="auto"/>
        </w:rPr>
        <w:t>部门公开表3</w:t>
      </w:r>
    </w:p>
    <w:p>
      <w:pPr>
        <w:jc w:val="center"/>
        <w:rPr>
          <w:rFonts w:cs="Microsoft JhengHei" w:hint="eastAsia"/>
          <w:sz w:val="36"/>
          <w:szCs w:val="36"/>
          <w:lang w:bidi="ar-SA"/>
          <w:highlight w:val="auto"/>
        </w:rPr>
      </w:pPr>
      <w:r>
        <w:rPr>
          <w:rFonts w:cs="Microsoft JhengHei" w:hint="eastAsia"/>
          <w:b/>
          <w:snapToGrid w:val="0"/>
          <w:color w:val="000000"/>
          <w:sz w:val="36"/>
          <w:szCs w:val="36"/>
          <w:lang w:bidi="ar-SA"/>
          <w:highlight w:val="auto"/>
        </w:rPr>
        <w:t>部门支出总表</w:t>
      </w:r>
    </w:p>
    <w:p>
      <w:pPr>
        <w:pStyle w:val="23"/>
        <w:spacing w:before="49" w:line="180" w:lineRule="auto"/>
        <w:ind w:firstLine="9999"/>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单位：万元</w:t>
      </w:r>
    </w:p>
    <w:p>
      <w:pPr>
        <w:pStyle w:val="23"/>
        <w:spacing w:line="125" w:lineRule="auto"/>
        <w:rPr>
          <w:rFonts w:ascii="Times New Roman" w:eastAsia="宋体" w:hAnsi="Times New Roman"/>
          <w:sz w:val="2"/>
          <w:highlight w:val="auto"/>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rPr>
          <w:trHeight w:val="894"/>
        </w:trPr>
        <w:tc>
          <w:tcPr>
            <w:tcW w:w="1221" w:type="dxa"/>
            <w:tcBorders>
              <w:left w:val="single" w:sz="4" w:space="0" w:color="000000"/>
              <w:right w:val="single" w:sz="4" w:space="0" w:color="000000"/>
            </w:tcBorders>
            <w:noWrap/>
            <w:vAlign w:val="center"/>
          </w:tcPr>
          <w:p>
            <w:pPr>
              <w:pStyle w:val="24"/>
              <w:spacing w:before="87" w:line="180" w:lineRule="auto"/>
              <w:ind w:firstLine="212"/>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科目代码</w:t>
            </w:r>
          </w:p>
        </w:tc>
        <w:tc>
          <w:tcPr>
            <w:tcW w:w="3091" w:type="dxa"/>
            <w:tcBorders>
              <w:left w:val="single" w:sz="4" w:space="0" w:color="000000"/>
              <w:right w:val="single" w:sz="4" w:space="0" w:color="000000"/>
            </w:tcBorders>
            <w:noWrap/>
            <w:vAlign w:val="center"/>
          </w:tcPr>
          <w:p>
            <w:pPr>
              <w:pStyle w:val="25"/>
              <w:spacing w:before="87" w:line="180" w:lineRule="auto"/>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科目名称</w:t>
            </w:r>
          </w:p>
        </w:tc>
        <w:tc>
          <w:tcPr>
            <w:tcW w:w="1271" w:type="dxa"/>
            <w:tcBorders>
              <w:left w:val="single" w:sz="4" w:space="0" w:color="000000"/>
              <w:right w:val="single" w:sz="4" w:space="0" w:color="000000"/>
            </w:tcBorders>
            <w:noWrap/>
            <w:vAlign w:val="center"/>
          </w:tcPr>
          <w:p>
            <w:pPr>
              <w:pStyle w:val="26"/>
              <w:spacing w:before="87" w:line="180" w:lineRule="auto"/>
              <w:ind w:firstLine="337"/>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合计</w:t>
            </w:r>
          </w:p>
        </w:tc>
        <w:tc>
          <w:tcPr>
            <w:tcW w:w="1334" w:type="dxa"/>
            <w:tcBorders>
              <w:left w:val="single" w:sz="4" w:space="0" w:color="000000"/>
              <w:right w:val="single" w:sz="4" w:space="0" w:color="000000"/>
            </w:tcBorders>
            <w:noWrap/>
            <w:vAlign w:val="center"/>
          </w:tcPr>
          <w:p>
            <w:pPr>
              <w:pStyle w:val="27"/>
              <w:spacing w:before="87" w:line="180" w:lineRule="auto"/>
              <w:ind w:firstLine="267"/>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基本支出</w:t>
            </w:r>
          </w:p>
        </w:tc>
        <w:tc>
          <w:tcPr>
            <w:tcW w:w="1184" w:type="dxa"/>
            <w:tcBorders>
              <w:left w:val="single" w:sz="4" w:space="0" w:color="000000"/>
              <w:right w:val="single" w:sz="4" w:space="0" w:color="000000"/>
            </w:tcBorders>
            <w:noWrap/>
            <w:vAlign w:val="center"/>
          </w:tcPr>
          <w:p>
            <w:pPr>
              <w:pStyle w:val="28"/>
              <w:spacing w:before="87" w:line="180" w:lineRule="auto"/>
              <w:ind w:firstLine="195"/>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项目支出</w:t>
            </w:r>
          </w:p>
        </w:tc>
        <w:tc>
          <w:tcPr>
            <w:tcW w:w="916" w:type="dxa"/>
            <w:tcBorders>
              <w:left w:val="single" w:sz="4" w:space="0" w:color="000000"/>
              <w:right w:val="single" w:sz="4" w:space="0" w:color="000000"/>
            </w:tcBorders>
            <w:noWrap/>
            <w:vAlign w:val="center"/>
          </w:tcPr>
          <w:p>
            <w:pPr>
              <w:pStyle w:val="29"/>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上缴上级支出</w:t>
            </w:r>
          </w:p>
        </w:tc>
        <w:tc>
          <w:tcPr>
            <w:tcW w:w="960" w:type="dxa"/>
            <w:tcBorders>
              <w:left w:val="single" w:sz="4" w:space="0" w:color="000000"/>
              <w:right w:val="single" w:sz="4" w:space="0" w:color="000000"/>
            </w:tcBorders>
            <w:noWrap/>
            <w:vAlign w:val="center"/>
          </w:tcPr>
          <w:p>
            <w:pPr>
              <w:pStyle w:val="30"/>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事业单位经营支出</w:t>
            </w:r>
          </w:p>
        </w:tc>
        <w:tc>
          <w:tcPr>
            <w:tcW w:w="1016" w:type="dxa"/>
            <w:tcBorders>
              <w:left w:val="single" w:sz="4" w:space="0" w:color="000000"/>
              <w:right w:val="single" w:sz="4" w:space="0" w:color="000000"/>
            </w:tcBorders>
            <w:noWrap/>
            <w:vAlign w:val="center"/>
          </w:tcPr>
          <w:p>
            <w:pPr>
              <w:pStyle w:val="31"/>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对附属单位补助支出</w:t>
            </w:r>
          </w:p>
        </w:tc>
      </w:tr>
      <w:tr>
        <w:trPr>
          <w:trHeight w:val="279"/>
        </w:trPr>
        <w:tc>
          <w:tcPr>
            <w:tcW w:w="1221" w:type="dxa"/>
            <w:tcBorders>
              <w:left w:val="single" w:sz="4" w:space="0" w:color="000000"/>
              <w:right w:val="single" w:sz="4" w:space="0" w:color="000000"/>
            </w:tcBorders>
            <w:noWrap/>
            <w:vAlign w:val="center"/>
          </w:tcPr>
          <w:p>
            <w:pPr>
              <w:widowControl/>
              <w:jc w:val="center"/>
              <w:rPr>
                <w:rFonts w:ascii="Times New Roman" w:eastAsia="宋体" w:hAnsi="Times New Roman" w:hint="eastAsia"/>
                <w:b/>
                <w:sz w:val="20"/>
                <w:szCs w:val="20"/>
                <w:highlight w:val="auto"/>
              </w:rPr>
            </w:pPr>
          </w:p>
        </w:tc>
        <w:tc>
          <w:tcPr>
            <w:tcW w:w="3091" w:type="dxa"/>
            <w:tcBorders>
              <w:left w:val="single" w:sz="4" w:space="0" w:color="000000"/>
              <w:right w:val="single" w:sz="4" w:space="0" w:color="000000"/>
            </w:tcBorders>
            <w:noWrap/>
            <w:vAlign w:val="center"/>
          </w:tcPr>
          <w:p>
            <w:pPr>
              <w:widowControl/>
              <w:jc w:val="center"/>
              <w:rPr>
                <w:rFonts w:ascii="Times New Roman" w:eastAsia="宋体" w:hAnsi="Times New Roman" w:hint="eastAsia"/>
                <w:b/>
                <w:sz w:val="20"/>
                <w:szCs w:val="20"/>
                <w:highlight w:val="auto"/>
              </w:rPr>
            </w:pPr>
            <w:r>
              <w:rPr>
                <w:rFonts w:ascii="Times New Roman" w:cs="宋体" w:hAnsi="Times New Roman" w:hint="eastAsia"/>
                <w:b/>
                <w:bCs/>
                <w:color w:val="000000"/>
                <w:kern w:val="0"/>
                <w:sz w:val="20"/>
                <w:szCs w:val="20"/>
              </w:rPr>
              <w:t>海关总署乌鲁木齐教育培训基地</w:t>
            </w:r>
          </w:p>
        </w:tc>
        <w:tc>
          <w:tcPr>
            <w:tcW w:w="1271" w:type="dxa"/>
            <w:tcBorders>
              <w:left w:val="single" w:sz="4" w:space="0" w:color="000000"/>
              <w:right w:val="single" w:sz="4" w:space="0" w:color="000000"/>
            </w:tcBorders>
            <w:noWrap/>
            <w:vAlign w:val="center"/>
          </w:tcPr>
          <w:p>
            <w:pPr>
              <w:pStyle w:val="983"/>
              <w:widowControl/>
              <w:jc w:val="right"/>
              <w:rPr>
                <w:rFonts w:ascii="Times New Roman" w:eastAsia="宋体" w:cs="Times New Roman" w:hAnsi="Times New Roman"/>
                <w:b/>
                <w:bCs/>
                <w:snapToGrid w:val="0"/>
                <w:color w:val="000000"/>
                <w:kern w:val="0"/>
                <w:sz w:val="20"/>
                <w:szCs w:val="20"/>
                <w:lang w:val="en-US" w:eastAsia="zh-CN" w:bidi="ar-SA"/>
                <w:highlight w:val="auto"/>
              </w:rPr>
            </w:pPr>
            <w:r>
              <w:rPr>
                <w:rFonts w:ascii="Times New Roman" w:cs="Times New Roman" w:hAnsi="Times New Roman"/>
                <w:b/>
                <w:bCs/>
                <w:color w:val="000000"/>
                <w:kern w:val="0"/>
                <w:sz w:val="20"/>
                <w:szCs w:val="20"/>
              </w:rPr>
              <w:t>3000.00</w:t>
            </w:r>
          </w:p>
        </w:tc>
        <w:tc>
          <w:tcPr>
            <w:tcW w:w="1334" w:type="dxa"/>
            <w:tcBorders>
              <w:left w:val="single" w:sz="4" w:space="0" w:color="000000"/>
              <w:right w:val="single" w:sz="4" w:space="0" w:color="000000"/>
            </w:tcBorders>
            <w:noWrap/>
            <w:vAlign w:val="center"/>
          </w:tcPr>
          <w:p>
            <w:pPr>
              <w:pStyle w:val="984"/>
              <w:keepNext w:val="0"/>
              <w:keepLines w:val="0"/>
              <w:widowControl/>
              <w:suppressLineNumbers w:val="0"/>
              <w:jc w:val="right"/>
              <w:textAlignment w:val="center"/>
              <w:rPr>
                <w:rFonts w:ascii="Times New Roman" w:eastAsia="宋体" w:cs="Times New Roman" w:hAnsi="Times New Roman"/>
                <w:b/>
                <w:bCs/>
                <w:snapToGrid w:val="0"/>
                <w:color w:val="000000"/>
                <w:kern w:val="0"/>
                <w:sz w:val="20"/>
                <w:szCs w:val="20"/>
                <w:lang w:val="en-US" w:eastAsia="zh-CN" w:bidi="ar-SA"/>
                <w:highlight w:val="auto"/>
              </w:rPr>
            </w:pPr>
            <w:r>
              <w:rPr>
                <w:rFonts w:ascii="Times New Roman" w:eastAsia="宋体" w:cs="Times New Roman" w:hAnsi="Times New Roman"/>
                <w:b/>
                <w:bCs/>
                <w:snapToGrid w:val="0"/>
                <w:color w:val="000000"/>
                <w:kern w:val="0"/>
                <w:sz w:val="20"/>
                <w:szCs w:val="20"/>
                <w:lang w:val="en-US" w:eastAsia="zh-CN" w:bidi="ar-SA"/>
                <w:highlight w:val="auto"/>
              </w:rPr>
              <w:t>3000.00</w:t>
            </w:r>
          </w:p>
        </w:tc>
        <w:tc>
          <w:tcPr>
            <w:tcW w:w="1184" w:type="dxa"/>
            <w:tcBorders>
              <w:left w:val="single" w:sz="4" w:space="0" w:color="000000"/>
              <w:right w:val="single" w:sz="4" w:space="0" w:color="000000"/>
            </w:tcBorders>
            <w:noWrap/>
            <w:vAlign w:val="center"/>
          </w:tcPr>
          <w:p>
            <w:pPr>
              <w:pStyle w:val="36"/>
              <w:keepNext w:val="0"/>
              <w:keepLines w:val="0"/>
              <w:widowControl/>
              <w:suppressLineNumbers w:val="0"/>
              <w:jc w:val="right"/>
              <w:textAlignment w:val="center"/>
              <w:rPr>
                <w:rFonts w:ascii="Times New Roman" w:eastAsia="宋体" w:cs="Times New Roman" w:hAnsi="Times New Roman"/>
                <w:b/>
                <w:bCs/>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37"/>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38"/>
              <w:jc w:val="right"/>
              <w:rPr>
                <w:rFonts w:ascii="Times New Roman" w:eastAsia="宋体" w:cs="Times New Roman" w:hAnsi="Times New Roman"/>
                <w:b/>
                <w:sz w:val="20"/>
                <w:szCs w:val="20"/>
                <w:lang w:bidi="ar-SA"/>
                <w:highlight w:val="auto"/>
              </w:rPr>
            </w:pPr>
          </w:p>
        </w:tc>
        <w:tc>
          <w:tcPr>
            <w:tcW w:w="1016" w:type="dxa"/>
            <w:tcBorders>
              <w:left w:val="single" w:sz="4" w:space="0" w:color="000000"/>
              <w:right w:val="single" w:sz="4" w:space="0" w:color="000000"/>
            </w:tcBorders>
            <w:noWrap/>
            <w:vAlign w:val="center"/>
          </w:tcPr>
          <w:p>
            <w:pPr>
              <w:pStyle w:val="39"/>
              <w:jc w:val="right"/>
              <w:rPr>
                <w:rFonts w:ascii="Times New Roman" w:eastAsia="宋体" w:cs="Times New Roman" w:hAnsi="Times New Roman"/>
                <w:b/>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widowControl/>
              <w:jc w:val="left"/>
              <w:rPr>
                <w:rFonts w:ascii="Times New Roman" w:eastAsia="宋体" w:hAnsi="Times New Roman" w:hint="eastAsia"/>
                <w:b/>
                <w:sz w:val="20"/>
                <w:szCs w:val="20"/>
                <w:highlight w:val="auto"/>
              </w:rPr>
            </w:pPr>
            <w:r>
              <w:rPr>
                <w:rFonts w:ascii="Times New Roman" w:cs="宋体" w:hAnsi="Times New Roman" w:hint="eastAsia"/>
                <w:b/>
                <w:bCs/>
                <w:color w:val="000000"/>
                <w:kern w:val="0"/>
                <w:sz w:val="20"/>
                <w:szCs w:val="20"/>
              </w:rPr>
              <w:t>201</w:t>
            </w:r>
          </w:p>
        </w:tc>
        <w:tc>
          <w:tcPr>
            <w:tcW w:w="3091" w:type="dxa"/>
            <w:tcBorders>
              <w:left w:val="single" w:sz="4" w:space="0" w:color="000000"/>
              <w:right w:val="single" w:sz="4" w:space="0" w:color="000000"/>
            </w:tcBorders>
            <w:noWrap/>
            <w:vAlign w:val="center"/>
          </w:tcPr>
          <w:p>
            <w:pPr>
              <w:widowControl/>
              <w:jc w:val="left"/>
              <w:rPr>
                <w:rFonts w:ascii="Times New Roman" w:eastAsia="宋体" w:hAnsi="Times New Roman" w:hint="eastAsia"/>
                <w:b/>
                <w:sz w:val="20"/>
                <w:szCs w:val="20"/>
                <w:highlight w:val="auto"/>
              </w:rPr>
            </w:pPr>
            <w:r>
              <w:rPr>
                <w:rFonts w:ascii="Times New Roman" w:cs="宋体" w:hAnsi="Times New Roman" w:hint="eastAsia"/>
                <w:b/>
                <w:bCs/>
                <w:color w:val="000000"/>
                <w:kern w:val="0"/>
                <w:sz w:val="20"/>
                <w:szCs w:val="20"/>
              </w:rPr>
              <w:t>一般公共服务支出</w:t>
            </w:r>
          </w:p>
        </w:tc>
        <w:tc>
          <w:tcPr>
            <w:tcW w:w="1271" w:type="dxa"/>
            <w:tcBorders>
              <w:left w:val="single" w:sz="4" w:space="0" w:color="000000"/>
              <w:right w:val="single" w:sz="4" w:space="0" w:color="000000"/>
            </w:tcBorders>
            <w:noWrap/>
            <w:vAlign w:val="center"/>
          </w:tcPr>
          <w:p>
            <w:pPr>
              <w:widowControl/>
              <w:jc w:val="right"/>
              <w:rPr>
                <w:rFonts w:ascii="Times New Roman" w:eastAsia="宋体" w:cs="Times New Roman" w:hAnsi="Times New Roman"/>
                <w:b/>
                <w:bCs/>
                <w:snapToGrid w:val="0"/>
                <w:color w:val="000000"/>
                <w:kern w:val="0"/>
                <w:sz w:val="20"/>
                <w:szCs w:val="20"/>
                <w:lang w:val="en-US" w:eastAsia="zh-CN" w:bidi="ar-SA"/>
                <w:highlight w:val="auto"/>
              </w:rPr>
            </w:pPr>
            <w:r>
              <w:rPr>
                <w:rFonts w:ascii="Times New Roman" w:cs="Times New Roman" w:hAnsi="Times New Roman"/>
                <w:b/>
                <w:bCs/>
                <w:color w:val="000000"/>
                <w:kern w:val="0"/>
                <w:sz w:val="20"/>
                <w:szCs w:val="20"/>
              </w:rPr>
              <w:t>3000.00</w:t>
            </w:r>
          </w:p>
        </w:tc>
        <w:tc>
          <w:tcPr>
            <w:tcW w:w="1334" w:type="dxa"/>
            <w:tcBorders>
              <w:left w:val="single" w:sz="4" w:space="0" w:color="000000"/>
              <w:right w:val="single" w:sz="4" w:space="0" w:color="000000"/>
            </w:tcBorders>
            <w:noWrap/>
            <w:vAlign w:val="center"/>
          </w:tcPr>
          <w:p>
            <w:pPr>
              <w:pStyle w:val="43"/>
              <w:keepNext w:val="0"/>
              <w:keepLines w:val="0"/>
              <w:widowControl/>
              <w:suppressLineNumbers w:val="0"/>
              <w:jc w:val="right"/>
              <w:textAlignment w:val="center"/>
              <w:rPr>
                <w:rFonts w:ascii="Times New Roman" w:eastAsia="宋体" w:cs="Times New Roman" w:hAnsi="Times New Roman"/>
                <w:b/>
                <w:bCs/>
                <w:snapToGrid w:val="0"/>
                <w:color w:val="000000"/>
                <w:kern w:val="0"/>
                <w:sz w:val="20"/>
                <w:szCs w:val="20"/>
                <w:lang w:val="en-US" w:eastAsia="zh-CN" w:bidi="ar-SA"/>
                <w:highlight w:val="auto"/>
              </w:rPr>
            </w:pPr>
            <w:r>
              <w:rPr>
                <w:rFonts w:ascii="Times New Roman" w:eastAsia="宋体" w:cs="Times New Roman" w:hAnsi="Times New Roman"/>
                <w:b/>
                <w:bCs/>
                <w:snapToGrid w:val="0"/>
                <w:color w:val="000000"/>
                <w:kern w:val="0"/>
                <w:sz w:val="20"/>
                <w:szCs w:val="20"/>
                <w:lang w:val="en-US" w:eastAsia="zh-CN" w:bidi="ar-SA"/>
                <w:highlight w:val="auto"/>
              </w:rPr>
              <w:t>3000.00</w:t>
            </w:r>
          </w:p>
        </w:tc>
        <w:tc>
          <w:tcPr>
            <w:tcW w:w="1184" w:type="dxa"/>
            <w:tcBorders>
              <w:left w:val="single" w:sz="4" w:space="0" w:color="000000"/>
              <w:right w:val="single" w:sz="4" w:space="0" w:color="000000"/>
            </w:tcBorders>
            <w:noWrap/>
            <w:vAlign w:val="center"/>
          </w:tcPr>
          <w:p>
            <w:pPr>
              <w:pStyle w:val="44"/>
              <w:keepNext w:val="0"/>
              <w:keepLines w:val="0"/>
              <w:widowControl/>
              <w:suppressLineNumbers w:val="0"/>
              <w:jc w:val="right"/>
              <w:textAlignment w:val="center"/>
              <w:rPr>
                <w:rFonts w:ascii="Times New Roman" w:eastAsia="宋体" w:cs="Times New Roman" w:hAnsi="Times New Roman"/>
                <w:b/>
                <w:bCs/>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45"/>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46"/>
              <w:jc w:val="right"/>
              <w:rPr>
                <w:rFonts w:ascii="Times New Roman" w:eastAsia="宋体" w:cs="Times New Roman" w:hAnsi="Times New Roman"/>
                <w:b/>
                <w:sz w:val="20"/>
                <w:szCs w:val="20"/>
                <w:lang w:bidi="ar-SA"/>
                <w:highlight w:val="auto"/>
              </w:rPr>
            </w:pPr>
          </w:p>
        </w:tc>
        <w:tc>
          <w:tcPr>
            <w:tcW w:w="1016" w:type="dxa"/>
            <w:tcBorders>
              <w:left w:val="single" w:sz="4" w:space="0" w:color="000000"/>
              <w:right w:val="single" w:sz="4" w:space="0" w:color="000000"/>
            </w:tcBorders>
            <w:noWrap/>
            <w:vAlign w:val="center"/>
          </w:tcPr>
          <w:p>
            <w:pPr>
              <w:pStyle w:val="47"/>
              <w:jc w:val="right"/>
              <w:rPr>
                <w:rFonts w:ascii="Times New Roman" w:eastAsia="宋体" w:cs="Times New Roman" w:hAnsi="Times New Roman"/>
                <w:b/>
                <w:sz w:val="20"/>
                <w:szCs w:val="20"/>
                <w:lang w:bidi="ar-SA"/>
                <w:highlight w:val="auto"/>
              </w:rPr>
            </w:pPr>
          </w:p>
        </w:tc>
      </w:tr>
      <w:tr>
        <w:trPr>
          <w:trHeight w:val="279"/>
        </w:trPr>
        <w:tc>
          <w:tcPr>
            <w:tcW w:w="1221" w:type="dxa"/>
            <w:tcBorders>
              <w:left w:val="single" w:sz="4" w:space="0" w:color="000000"/>
              <w:right w:val="single" w:sz="4" w:space="0" w:color="000000"/>
            </w:tcBorders>
            <w:noWrap/>
            <w:vAlign w:val="center"/>
          </w:tcPr>
          <w:p>
            <w:pPr>
              <w:widowControl/>
              <w:jc w:val="left"/>
              <w:rPr>
                <w:rFonts w:ascii="Times New Roman" w:eastAsia="宋体" w:hAnsi="Times New Roman" w:hint="eastAsia"/>
                <w:sz w:val="20"/>
                <w:szCs w:val="20"/>
                <w:highlight w:val="auto"/>
              </w:rPr>
            </w:pPr>
            <w:r>
              <w:rPr>
                <w:rFonts w:ascii="Times New Roman" w:cs="宋体" w:hAnsi="Times New Roman" w:hint="eastAsia"/>
                <w:b/>
                <w:bCs/>
                <w:color w:val="000000"/>
                <w:kern w:val="0"/>
                <w:sz w:val="20"/>
                <w:szCs w:val="20"/>
              </w:rPr>
              <w:t>20109</w:t>
            </w:r>
          </w:p>
        </w:tc>
        <w:tc>
          <w:tcPr>
            <w:tcW w:w="3091" w:type="dxa"/>
            <w:tcBorders>
              <w:left w:val="single" w:sz="4" w:space="0" w:color="000000"/>
              <w:right w:val="single" w:sz="4" w:space="0" w:color="000000"/>
            </w:tcBorders>
            <w:noWrap/>
            <w:vAlign w:val="center"/>
          </w:tcPr>
          <w:p>
            <w:pPr>
              <w:widowControl/>
              <w:jc w:val="left"/>
              <w:rPr>
                <w:rFonts w:ascii="Times New Roman" w:eastAsia="宋体" w:hAnsi="Times New Roman" w:hint="eastAsia"/>
                <w:sz w:val="20"/>
                <w:szCs w:val="20"/>
                <w:highlight w:val="auto"/>
              </w:rPr>
            </w:pPr>
            <w:r>
              <w:rPr>
                <w:rFonts w:ascii="Times New Roman" w:cs="宋体" w:hAnsi="Times New Roman" w:hint="eastAsia"/>
                <w:b/>
                <w:bCs/>
                <w:color w:val="000000"/>
                <w:kern w:val="0"/>
                <w:sz w:val="20"/>
                <w:szCs w:val="20"/>
              </w:rPr>
              <w:t>海关事务</w:t>
            </w:r>
          </w:p>
        </w:tc>
        <w:tc>
          <w:tcPr>
            <w:tcW w:w="1271" w:type="dxa"/>
            <w:tcBorders>
              <w:left w:val="single" w:sz="4" w:space="0" w:color="000000"/>
              <w:right w:val="single" w:sz="4" w:space="0" w:color="000000"/>
            </w:tcBorders>
            <w:noWrap/>
            <w:vAlign w:val="center"/>
          </w:tcPr>
          <w:p>
            <w:pPr>
              <w:pStyle w:val="985"/>
              <w:widowControl/>
              <w:jc w:val="right"/>
              <w:rPr>
                <w:rFonts w:ascii="Times New Roman" w:eastAsia="宋体" w:cs="Times New Roman" w:hAnsi="Times New Roman"/>
                <w:b/>
                <w:bCs/>
                <w:snapToGrid w:val="0"/>
                <w:color w:val="000000"/>
                <w:kern w:val="0"/>
                <w:sz w:val="20"/>
                <w:szCs w:val="20"/>
                <w:lang w:val="en-US" w:eastAsia="zh-CN" w:bidi="ar-SA"/>
                <w:highlight w:val="auto"/>
              </w:rPr>
            </w:pPr>
            <w:r>
              <w:rPr>
                <w:rFonts w:ascii="Times New Roman" w:cs="Times New Roman" w:hAnsi="Times New Roman"/>
                <w:b/>
                <w:bCs/>
                <w:color w:val="000000"/>
                <w:kern w:val="0"/>
                <w:sz w:val="20"/>
                <w:szCs w:val="20"/>
              </w:rPr>
              <w:t>3000.00</w:t>
            </w:r>
          </w:p>
        </w:tc>
        <w:tc>
          <w:tcPr>
            <w:tcW w:w="1334" w:type="dxa"/>
            <w:tcBorders>
              <w:left w:val="single" w:sz="4" w:space="0" w:color="000000"/>
              <w:right w:val="single" w:sz="4" w:space="0" w:color="000000"/>
            </w:tcBorders>
            <w:noWrap/>
            <w:vAlign w:val="center"/>
          </w:tcPr>
          <w:p>
            <w:pPr>
              <w:pStyle w:val="986"/>
              <w:keepNext w:val="0"/>
              <w:keepLines w:val="0"/>
              <w:widowControl/>
              <w:suppressLineNumbers w:val="0"/>
              <w:jc w:val="right"/>
              <w:textAlignment w:val="center"/>
              <w:rPr>
                <w:rFonts w:ascii="Times New Roman" w:eastAsia="宋体" w:cs="Times New Roman" w:hAnsi="Times New Roman"/>
                <w:b/>
                <w:bCs/>
                <w:snapToGrid w:val="0"/>
                <w:color w:val="000000"/>
                <w:kern w:val="0"/>
                <w:sz w:val="20"/>
                <w:szCs w:val="20"/>
                <w:lang w:val="en-US" w:eastAsia="zh-CN" w:bidi="ar-SA"/>
                <w:highlight w:val="auto"/>
              </w:rPr>
            </w:pPr>
            <w:r>
              <w:rPr>
                <w:rFonts w:ascii="Times New Roman" w:eastAsia="宋体" w:cs="Times New Roman" w:hAnsi="Times New Roman"/>
                <w:b/>
                <w:bCs/>
                <w:snapToGrid w:val="0"/>
                <w:color w:val="000000"/>
                <w:kern w:val="0"/>
                <w:sz w:val="20"/>
                <w:szCs w:val="20"/>
                <w:lang w:val="en-US" w:eastAsia="zh-CN" w:bidi="ar-SA"/>
                <w:highlight w:val="auto"/>
              </w:rPr>
              <w:t>3000.00</w:t>
            </w:r>
          </w:p>
        </w:tc>
        <w:tc>
          <w:tcPr>
            <w:tcW w:w="1184" w:type="dxa"/>
            <w:tcBorders>
              <w:left w:val="single" w:sz="4" w:space="0" w:color="000000"/>
              <w:right w:val="single" w:sz="4" w:space="0" w:color="000000"/>
            </w:tcBorders>
            <w:noWrap/>
            <w:vAlign w:val="center"/>
          </w:tcPr>
          <w:p>
            <w:pPr>
              <w:pStyle w:val="52"/>
              <w:jc w:val="right"/>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53"/>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54"/>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55"/>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widowControl/>
              <w:jc w:val="left"/>
              <w:rPr>
                <w:rFonts w:ascii="Times New Roman" w:eastAsia="宋体" w:hAnsi="Times New Roman" w:hint="eastAsia"/>
                <w:sz w:val="20"/>
                <w:szCs w:val="20"/>
                <w:highlight w:val="auto"/>
              </w:rPr>
            </w:pPr>
            <w:r>
              <w:rPr>
                <w:rFonts w:ascii="Times New Roman" w:cs="宋体" w:hAnsi="Times New Roman" w:hint="eastAsia"/>
                <w:color w:val="000000"/>
                <w:kern w:val="0"/>
                <w:sz w:val="20"/>
                <w:szCs w:val="20"/>
              </w:rPr>
              <w:t>2010950</w:t>
            </w:r>
          </w:p>
        </w:tc>
        <w:tc>
          <w:tcPr>
            <w:tcW w:w="3091" w:type="dxa"/>
            <w:tcBorders>
              <w:left w:val="single" w:sz="4" w:space="0" w:color="000000"/>
              <w:right w:val="single" w:sz="4" w:space="0" w:color="000000"/>
            </w:tcBorders>
            <w:noWrap/>
            <w:vAlign w:val="center"/>
          </w:tcPr>
          <w:p>
            <w:pPr>
              <w:widowControl/>
              <w:jc w:val="left"/>
              <w:rPr>
                <w:rFonts w:ascii="Times New Roman" w:eastAsia="宋体" w:hAnsi="Times New Roman" w:hint="eastAsia"/>
                <w:sz w:val="20"/>
                <w:szCs w:val="20"/>
                <w:highlight w:val="auto"/>
              </w:rPr>
            </w:pPr>
            <w:r>
              <w:rPr>
                <w:rFonts w:ascii="Times New Roman" w:cs="宋体" w:hAnsi="Times New Roman" w:hint="eastAsia"/>
                <w:color w:val="000000"/>
                <w:kern w:val="0"/>
                <w:sz w:val="20"/>
                <w:szCs w:val="20"/>
              </w:rPr>
              <w:t>事业运行</w:t>
            </w:r>
          </w:p>
        </w:tc>
        <w:tc>
          <w:tcPr>
            <w:tcW w:w="1271" w:type="dxa"/>
            <w:tcBorders>
              <w:left w:val="single" w:sz="4" w:space="0" w:color="000000"/>
              <w:right w:val="single" w:sz="4" w:space="0" w:color="000000"/>
            </w:tcBorders>
            <w:noWrap/>
            <w:vAlign w:val="center"/>
          </w:tcPr>
          <w:p>
            <w:pPr>
              <w:pStyle w:val="987"/>
              <w:widowControl/>
              <w:jc w:val="right"/>
              <w:rPr>
                <w:rFonts w:ascii="Times New Roman" w:eastAsia="宋体" w:cs="Times New Roman" w:hAnsi="Times New Roman"/>
                <w:b/>
                <w:bCs/>
                <w:snapToGrid w:val="0"/>
                <w:color w:val="000000"/>
                <w:kern w:val="0"/>
                <w:sz w:val="20"/>
                <w:szCs w:val="20"/>
                <w:lang w:val="en-US" w:eastAsia="zh-CN" w:bidi="ar-SA"/>
                <w:highlight w:val="auto"/>
              </w:rPr>
            </w:pPr>
            <w:r>
              <w:rPr>
                <w:rFonts w:ascii="Times New Roman" w:cs="Times New Roman" w:hAnsi="Times New Roman"/>
                <w:b/>
                <w:bCs/>
                <w:color w:val="000000"/>
                <w:kern w:val="0"/>
                <w:sz w:val="20"/>
                <w:szCs w:val="20"/>
              </w:rPr>
              <w:t>3000.00</w:t>
            </w:r>
          </w:p>
        </w:tc>
        <w:tc>
          <w:tcPr>
            <w:tcW w:w="1334" w:type="dxa"/>
            <w:tcBorders>
              <w:left w:val="single" w:sz="4" w:space="0" w:color="000000"/>
              <w:right w:val="single" w:sz="4" w:space="0" w:color="000000"/>
            </w:tcBorders>
            <w:noWrap/>
            <w:vAlign w:val="center"/>
          </w:tcPr>
          <w:p>
            <w:pPr>
              <w:pStyle w:val="988"/>
              <w:keepNext w:val="0"/>
              <w:keepLines w:val="0"/>
              <w:widowControl/>
              <w:suppressLineNumbers w:val="0"/>
              <w:jc w:val="right"/>
              <w:textAlignment w:val="center"/>
              <w:rPr>
                <w:rFonts w:ascii="Times New Roman" w:eastAsia="宋体" w:cs="Times New Roman" w:hAnsi="Times New Roman"/>
                <w:b/>
                <w:bCs/>
                <w:snapToGrid w:val="0"/>
                <w:color w:val="000000"/>
                <w:kern w:val="0"/>
                <w:sz w:val="20"/>
                <w:szCs w:val="20"/>
                <w:lang w:val="en-US" w:eastAsia="zh-CN" w:bidi="ar-SA"/>
                <w:highlight w:val="auto"/>
              </w:rPr>
            </w:pPr>
            <w:r>
              <w:rPr>
                <w:rFonts w:ascii="Times New Roman" w:eastAsia="宋体" w:cs="Times New Roman" w:hAnsi="Times New Roman"/>
                <w:b/>
                <w:bCs/>
                <w:snapToGrid w:val="0"/>
                <w:color w:val="000000"/>
                <w:kern w:val="0"/>
                <w:sz w:val="20"/>
                <w:szCs w:val="20"/>
                <w:lang w:val="en-US" w:eastAsia="zh-CN" w:bidi="ar-SA"/>
                <w:highlight w:val="auto"/>
              </w:rPr>
              <w:t>3000.00</w:t>
            </w:r>
          </w:p>
        </w:tc>
        <w:tc>
          <w:tcPr>
            <w:tcW w:w="1184" w:type="dxa"/>
            <w:tcBorders>
              <w:left w:val="single" w:sz="4" w:space="0" w:color="000000"/>
              <w:right w:val="single" w:sz="4" w:space="0" w:color="000000"/>
            </w:tcBorders>
            <w:noWrap/>
            <w:vAlign w:val="center"/>
          </w:tcPr>
          <w:p>
            <w:pPr>
              <w:pStyle w:val="60"/>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61"/>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62"/>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63"/>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64"/>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65"/>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66"/>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67"/>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68"/>
              <w:jc w:val="right"/>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69"/>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70"/>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71"/>
              <w:jc w:val="right"/>
              <w:rPr>
                <w:rFonts w:ascii="Times New Roman" w:eastAsia="宋体" w:cs="Times New Roman" w:hAnsi="Times New Roman"/>
                <w:sz w:val="20"/>
                <w:szCs w:val="20"/>
                <w:lang w:bidi="ar-SA"/>
                <w:highlight w:val="auto"/>
              </w:rPr>
            </w:pPr>
          </w:p>
        </w:tc>
      </w:tr>
      <w:tr>
        <w:trPr>
          <w:trHeight w:val="90"/>
        </w:trPr>
        <w:tc>
          <w:tcPr>
            <w:tcW w:w="1221" w:type="dxa"/>
            <w:tcBorders>
              <w:left w:val="single" w:sz="4" w:space="0" w:color="000000"/>
              <w:right w:val="single" w:sz="4" w:space="0" w:color="000000"/>
            </w:tcBorders>
            <w:noWrap/>
            <w:vAlign w:val="center"/>
          </w:tcPr>
          <w:p>
            <w:pPr>
              <w:pStyle w:val="72"/>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73"/>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74"/>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75"/>
              <w:jc w:val="right"/>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76"/>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77"/>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78"/>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79"/>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80"/>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81"/>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82"/>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83"/>
              <w:jc w:val="right"/>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84"/>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85"/>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86"/>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87"/>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88"/>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89"/>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90"/>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91"/>
              <w:jc w:val="right"/>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92"/>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93"/>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94"/>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95"/>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96"/>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97"/>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98"/>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99"/>
              <w:jc w:val="right"/>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100"/>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101"/>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102"/>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103"/>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104"/>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105"/>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106"/>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107"/>
              <w:jc w:val="right"/>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108"/>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109"/>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110"/>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111"/>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112"/>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113"/>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114"/>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115"/>
              <w:jc w:val="right"/>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116"/>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117"/>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118"/>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119"/>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120"/>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121"/>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122"/>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123"/>
              <w:jc w:val="right"/>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124"/>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125"/>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126"/>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127"/>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128"/>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129"/>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130"/>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131"/>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132"/>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133"/>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134"/>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135"/>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136"/>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137"/>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138"/>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139"/>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140"/>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141"/>
              <w:jc w:val="right"/>
              <w:rPr>
                <w:rFonts w:ascii="Times New Roman" w:eastAsia="宋体" w:cs="Times New Roman" w:hAnsi="Times New Roman"/>
                <w:snapToGrid w:val="0"/>
                <w:color w:val="000000"/>
                <w:kern w:val="0"/>
                <w:sz w:val="20"/>
                <w:szCs w:val="20"/>
                <w:lang w:val="en-US" w:eastAsia="zh-CN" w:bidi="ar-SA"/>
                <w:highlight w:val="auto"/>
              </w:rPr>
            </w:pPr>
          </w:p>
        </w:tc>
        <w:tc>
          <w:tcPr>
            <w:tcW w:w="960" w:type="dxa"/>
            <w:tcBorders>
              <w:left w:val="single" w:sz="4" w:space="0" w:color="000000"/>
              <w:right w:val="single" w:sz="4" w:space="0" w:color="000000"/>
            </w:tcBorders>
            <w:noWrap/>
            <w:vAlign w:val="center"/>
          </w:tcPr>
          <w:p>
            <w:pPr>
              <w:pStyle w:val="142"/>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143"/>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320"/>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321"/>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322"/>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323"/>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324"/>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325"/>
              <w:jc w:val="right"/>
              <w:rPr>
                <w:rFonts w:ascii="Times New Roman" w:eastAsia="宋体" w:cs="Times New Roman" w:hAnsi="Times New Roman"/>
                <w:sz w:val="20"/>
                <w:szCs w:val="20"/>
                <w:lang w:bidi="ar-SA"/>
                <w:highlight w:val="auto"/>
              </w:rPr>
            </w:pPr>
          </w:p>
        </w:tc>
        <w:tc>
          <w:tcPr>
            <w:tcW w:w="960" w:type="dxa"/>
            <w:tcBorders>
              <w:left w:val="single" w:sz="4" w:space="0" w:color="000000"/>
              <w:right w:val="single" w:sz="4" w:space="0" w:color="000000"/>
            </w:tcBorders>
            <w:noWrap/>
            <w:vAlign w:val="center"/>
          </w:tcPr>
          <w:p>
            <w:pPr>
              <w:pStyle w:val="326"/>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327"/>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328"/>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329"/>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330"/>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331"/>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332"/>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333"/>
              <w:jc w:val="right"/>
              <w:rPr>
                <w:rFonts w:ascii="Times New Roman" w:eastAsia="宋体" w:cs="Times New Roman" w:hAnsi="Times New Roman"/>
                <w:sz w:val="20"/>
                <w:szCs w:val="20"/>
                <w:lang w:bidi="ar-SA"/>
                <w:highlight w:val="auto"/>
              </w:rPr>
            </w:pPr>
          </w:p>
        </w:tc>
        <w:tc>
          <w:tcPr>
            <w:tcW w:w="960" w:type="dxa"/>
            <w:tcBorders>
              <w:left w:val="single" w:sz="4" w:space="0" w:color="000000"/>
              <w:right w:val="single" w:sz="4" w:space="0" w:color="000000"/>
            </w:tcBorders>
            <w:noWrap/>
            <w:vAlign w:val="center"/>
          </w:tcPr>
          <w:p>
            <w:pPr>
              <w:pStyle w:val="334"/>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335"/>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336"/>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337"/>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338"/>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339"/>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340"/>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341"/>
              <w:jc w:val="right"/>
              <w:rPr>
                <w:rFonts w:ascii="Times New Roman" w:eastAsia="宋体" w:cs="Times New Roman" w:hAnsi="Times New Roman"/>
                <w:sz w:val="20"/>
                <w:szCs w:val="20"/>
                <w:lang w:bidi="ar-SA"/>
                <w:highlight w:val="auto"/>
              </w:rPr>
            </w:pPr>
          </w:p>
        </w:tc>
        <w:tc>
          <w:tcPr>
            <w:tcW w:w="960" w:type="dxa"/>
            <w:tcBorders>
              <w:left w:val="single" w:sz="4" w:space="0" w:color="000000"/>
              <w:right w:val="single" w:sz="4" w:space="0" w:color="000000"/>
            </w:tcBorders>
            <w:noWrap/>
            <w:vAlign w:val="center"/>
          </w:tcPr>
          <w:p>
            <w:pPr>
              <w:pStyle w:val="342"/>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343"/>
              <w:jc w:val="right"/>
              <w:rPr>
                <w:rFonts w:ascii="Times New Roman" w:eastAsia="宋体" w:cs="Times New Roman" w:hAnsi="Times New Roman"/>
                <w:sz w:val="20"/>
                <w:szCs w:val="20"/>
                <w:lang w:bidi="ar-SA"/>
                <w:highlight w:val="auto"/>
              </w:rPr>
            </w:pPr>
          </w:p>
        </w:tc>
      </w:tr>
      <w:tr>
        <w:trPr>
          <w:trHeight w:val="280"/>
        </w:trPr>
        <w:tc>
          <w:tcPr>
            <w:tcW w:w="1221" w:type="dxa"/>
            <w:tcBorders>
              <w:left w:val="single" w:sz="4" w:space="0" w:color="000000"/>
              <w:right w:val="single" w:sz="4" w:space="0" w:color="000000"/>
            </w:tcBorders>
            <w:noWrap/>
            <w:vAlign w:val="center"/>
          </w:tcPr>
          <w:p>
            <w:pPr>
              <w:pStyle w:val="344"/>
              <w:ind w:leftChars="100" w:left="210"/>
              <w:rPr>
                <w:rFonts w:ascii="Times New Roman" w:eastAsia="宋体" w:hAnsi="Times New Roman" w:hint="eastAsia"/>
                <w:sz w:val="20"/>
                <w:szCs w:val="20"/>
                <w:highlight w:val="auto"/>
              </w:rPr>
            </w:pPr>
          </w:p>
        </w:tc>
        <w:tc>
          <w:tcPr>
            <w:tcW w:w="3091" w:type="dxa"/>
            <w:tcBorders>
              <w:left w:val="single" w:sz="4" w:space="0" w:color="000000"/>
              <w:right w:val="single" w:sz="4" w:space="0" w:color="000000"/>
            </w:tcBorders>
            <w:noWrap/>
            <w:vAlign w:val="center"/>
          </w:tcPr>
          <w:p>
            <w:pPr>
              <w:pStyle w:val="345"/>
              <w:ind w:leftChars="100" w:left="210"/>
              <w:rPr>
                <w:rFonts w:ascii="Times New Roman" w:eastAsia="宋体" w:hAnsi="Times New Roman" w:hint="eastAsia"/>
                <w:sz w:val="20"/>
                <w:szCs w:val="20"/>
                <w:highlight w:val="auto"/>
              </w:rPr>
            </w:pPr>
          </w:p>
        </w:tc>
        <w:tc>
          <w:tcPr>
            <w:tcW w:w="1271" w:type="dxa"/>
            <w:tcBorders>
              <w:left w:val="single" w:sz="4" w:space="0" w:color="000000"/>
              <w:right w:val="single" w:sz="4" w:space="0" w:color="000000"/>
            </w:tcBorders>
            <w:noWrap/>
            <w:vAlign w:val="center"/>
          </w:tcPr>
          <w:p>
            <w:pPr>
              <w:pStyle w:val="346"/>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1334" w:type="dxa"/>
            <w:tcBorders>
              <w:left w:val="single" w:sz="4" w:space="0" w:color="000000"/>
              <w:right w:val="single" w:sz="4" w:space="0" w:color="000000"/>
            </w:tcBorders>
            <w:noWrap/>
            <w:vAlign w:val="center"/>
          </w:tcPr>
          <w:p>
            <w:pPr>
              <w:pStyle w:val="347"/>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1184" w:type="dxa"/>
            <w:tcBorders>
              <w:left w:val="single" w:sz="4" w:space="0" w:color="000000"/>
              <w:right w:val="single" w:sz="4" w:space="0" w:color="000000"/>
            </w:tcBorders>
            <w:noWrap/>
            <w:vAlign w:val="center"/>
          </w:tcPr>
          <w:p>
            <w:pPr>
              <w:pStyle w:val="348"/>
              <w:keepNext w:val="0"/>
              <w:keepLines w:val="0"/>
              <w:widowControl/>
              <w:suppressLineNumbers w:val="0"/>
              <w:jc w:val="right"/>
              <w:textAlignment w:val="center"/>
              <w:rPr>
                <w:rFonts w:ascii="Times New Roman" w:eastAsia="宋体" w:cs="Times New Roman" w:hAnsi="Times New Roman" w:hint="eastAsia"/>
                <w:snapToGrid w:val="0"/>
                <w:color w:val="000000"/>
                <w:kern w:val="0"/>
                <w:sz w:val="20"/>
                <w:szCs w:val="20"/>
                <w:lang w:val="en-US" w:eastAsia="zh-CN" w:bidi="ar-SA"/>
                <w:highlight w:val="auto"/>
              </w:rPr>
            </w:pPr>
          </w:p>
        </w:tc>
        <w:tc>
          <w:tcPr>
            <w:tcW w:w="916" w:type="dxa"/>
            <w:tcBorders>
              <w:left w:val="single" w:sz="4" w:space="0" w:color="000000"/>
              <w:right w:val="single" w:sz="4" w:space="0" w:color="000000"/>
            </w:tcBorders>
            <w:noWrap/>
            <w:vAlign w:val="center"/>
          </w:tcPr>
          <w:p>
            <w:pPr>
              <w:pStyle w:val="349"/>
              <w:jc w:val="right"/>
              <w:rPr>
                <w:rFonts w:ascii="Times New Roman" w:eastAsia="宋体" w:cs="Times New Roman" w:hAnsi="Times New Roman"/>
                <w:sz w:val="20"/>
                <w:szCs w:val="20"/>
                <w:lang w:bidi="ar-SA"/>
                <w:highlight w:val="auto"/>
              </w:rPr>
            </w:pPr>
          </w:p>
        </w:tc>
        <w:tc>
          <w:tcPr>
            <w:tcW w:w="960" w:type="dxa"/>
            <w:tcBorders>
              <w:left w:val="single" w:sz="4" w:space="0" w:color="000000"/>
              <w:right w:val="single" w:sz="4" w:space="0" w:color="000000"/>
            </w:tcBorders>
            <w:noWrap/>
            <w:vAlign w:val="center"/>
          </w:tcPr>
          <w:p>
            <w:pPr>
              <w:pStyle w:val="350"/>
              <w:jc w:val="right"/>
              <w:rPr>
                <w:rFonts w:ascii="Times New Roman" w:eastAsia="宋体" w:cs="Times New Roman" w:hAnsi="Times New Roman"/>
                <w:sz w:val="20"/>
                <w:szCs w:val="20"/>
                <w:lang w:bidi="ar-SA"/>
                <w:highlight w:val="auto"/>
              </w:rPr>
            </w:pPr>
          </w:p>
        </w:tc>
        <w:tc>
          <w:tcPr>
            <w:tcW w:w="1016" w:type="dxa"/>
            <w:tcBorders>
              <w:left w:val="single" w:sz="4" w:space="0" w:color="000000"/>
              <w:right w:val="single" w:sz="4" w:space="0" w:color="000000"/>
            </w:tcBorders>
            <w:noWrap/>
            <w:vAlign w:val="center"/>
          </w:tcPr>
          <w:p>
            <w:pPr>
              <w:pStyle w:val="351"/>
              <w:jc w:val="right"/>
              <w:rPr>
                <w:rFonts w:ascii="Times New Roman" w:eastAsia="宋体" w:cs="Times New Roman" w:hAnsi="Times New Roman"/>
                <w:sz w:val="20"/>
                <w:szCs w:val="20"/>
                <w:lang w:bidi="ar-SA"/>
                <w:highlight w:val="auto"/>
              </w:rPr>
            </w:pPr>
          </w:p>
        </w:tc>
      </w:tr>
    </w:tbl>
    <w:p>
      <w:pPr>
        <w:pStyle w:val="23"/>
        <w:rPr>
          <w:rFonts w:ascii="Times New Roman" w:eastAsia="宋体" w:hAnsi="Times New Roman"/>
          <w:highlight w:val="auto"/>
        </w:rPr>
      </w:pPr>
    </w:p>
    <w:p>
      <w:pPr>
        <w:pStyle w:val="23"/>
        <w:rPr>
          <w:rFonts w:ascii="Times New Roman" w:eastAsia="宋体" w:hAnsi="Times New Roman"/>
          <w:highlight w:val="auto"/>
        </w:rPr>
        <w:sectPr>
          <w:pgSz w:w="11907" w:h="16841"/>
          <w:pgMar w:top="1431" w:right="451" w:bottom="0" w:left="451" w:header="0" w:footer="0" w:gutter="0"/>
          <w:docGrid w:linePitch="285" w:charSpace="0"/>
        </w:sectPr>
      </w:pPr>
    </w:p>
    <w:p>
      <w:pPr>
        <w:jc w:val="both"/>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4</w:t>
      </w:r>
    </w:p>
    <w:p>
      <w:pPr>
        <w:jc w:val="center"/>
        <w:rPr>
          <w:rFonts w:cs="Microsoft JhengHei" w:hint="eastAsia"/>
          <w:sz w:val="40"/>
          <w:szCs w:val="40"/>
          <w:lang w:bidi="ar-SA"/>
          <w:highlight w:val="auto"/>
        </w:rPr>
      </w:pPr>
      <w:r>
        <w:rPr>
          <w:rFonts w:cs="Microsoft JhengHei" w:hint="eastAsia"/>
          <w:b/>
          <w:snapToGrid w:val="0"/>
          <w:color w:val="000000"/>
          <w:sz w:val="36"/>
          <w:szCs w:val="36"/>
          <w:lang w:bidi="ar-SA"/>
          <w:highlight w:val="auto"/>
        </w:rPr>
        <w:t>财政拨款收支总表</w:t>
      </w:r>
    </w:p>
    <w:p>
      <w:pPr>
        <w:pStyle w:val="471"/>
        <w:spacing w:before="49" w:line="180" w:lineRule="auto"/>
        <w:ind w:firstLine="12990"/>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471"/>
        <w:spacing w:line="48" w:lineRule="auto"/>
        <w:rPr>
          <w:rFonts w:ascii="Times New Roman" w:eastAsia="宋体" w:hAnsi="Times New Roman"/>
          <w:sz w:val="2"/>
          <w:highlight w:val="auto"/>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noWrap/>
            <w:vAlign w:val="center"/>
          </w:tcPr>
          <w:p>
            <w:pPr>
              <w:pStyle w:val="471"/>
              <w:jc w:val="center"/>
              <w:rPr>
                <w:rFonts w:ascii="Times New Roman" w:eastAsia="宋体" w:hAnsi="Times New Roman"/>
                <w:sz w:val="24"/>
                <w:szCs w:val="24"/>
                <w:highlight w:val="auto"/>
              </w:rPr>
            </w:pPr>
            <w:r>
              <w:rPr>
                <w:rFonts w:ascii="Times New Roman" w:eastAsia="宋体" w:hAnsi="Times New Roman"/>
                <w:sz w:val="24"/>
                <w:szCs w:val="24"/>
                <w:highlight w:val="auto"/>
              </w:rPr>
              <w:t>收             入</w:t>
            </w:r>
          </w:p>
        </w:tc>
        <w:tc>
          <w:tcPr>
            <w:tcW w:w="7047" w:type="dxa"/>
            <w:gridSpan w:val="2"/>
            <w:noWrap/>
            <w:vAlign w:val="center"/>
          </w:tcPr>
          <w:p>
            <w:pPr>
              <w:pStyle w:val="472"/>
              <w:jc w:val="center"/>
              <w:rPr>
                <w:rFonts w:ascii="Times New Roman" w:eastAsia="宋体" w:hAnsi="Times New Roman"/>
                <w:sz w:val="24"/>
                <w:szCs w:val="24"/>
                <w:highlight w:val="auto"/>
              </w:rPr>
            </w:pPr>
            <w:r>
              <w:rPr>
                <w:rFonts w:ascii="Times New Roman" w:eastAsia="宋体" w:hAnsi="Times New Roman"/>
                <w:sz w:val="24"/>
                <w:szCs w:val="24"/>
                <w:highlight w:val="auto"/>
              </w:rPr>
              <w:t>支        出</w:t>
            </w:r>
          </w:p>
        </w:tc>
      </w:tr>
      <w:tr>
        <w:trPr>
          <w:trHeight w:val="498"/>
        </w:trPr>
        <w:tc>
          <w:tcPr>
            <w:tcW w:w="4055" w:type="dxa"/>
            <w:tcBorders>
              <w:left w:val="single" w:sz="4" w:space="0" w:color="000000"/>
              <w:right w:val="single" w:sz="4" w:space="0" w:color="000000"/>
            </w:tcBorders>
            <w:noWrap/>
            <w:vAlign w:val="center"/>
          </w:tcPr>
          <w:p>
            <w:pPr>
              <w:pStyle w:val="471"/>
              <w:spacing w:before="39" w:line="182" w:lineRule="auto"/>
              <w:ind w:firstLine="2103"/>
              <w:jc w:val="both"/>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项目</w:t>
            </w:r>
          </w:p>
        </w:tc>
        <w:tc>
          <w:tcPr>
            <w:tcW w:w="3081" w:type="dxa"/>
            <w:tcBorders>
              <w:left w:val="single" w:sz="4" w:space="0" w:color="000000"/>
              <w:right w:val="single" w:sz="4" w:space="0" w:color="000000"/>
            </w:tcBorders>
            <w:noWrap/>
            <w:vAlign w:val="center"/>
          </w:tcPr>
          <w:p>
            <w:pPr>
              <w:pStyle w:val="471"/>
              <w:spacing w:before="39" w:line="182" w:lineRule="auto"/>
              <w:ind w:firstLine="991"/>
              <w:jc w:val="both"/>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预算数</w:t>
            </w:r>
          </w:p>
        </w:tc>
        <w:tc>
          <w:tcPr>
            <w:tcW w:w="4225" w:type="dxa"/>
            <w:tcBorders>
              <w:left w:val="single" w:sz="4" w:space="0" w:color="000000"/>
              <w:right w:val="single" w:sz="4" w:space="0" w:color="000000"/>
            </w:tcBorders>
            <w:noWrap/>
            <w:vAlign w:val="center"/>
          </w:tcPr>
          <w:p>
            <w:pPr>
              <w:pStyle w:val="471"/>
              <w:spacing w:before="39" w:line="182" w:lineRule="auto"/>
              <w:ind w:firstLine="1618"/>
              <w:jc w:val="both"/>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项目</w:t>
            </w:r>
          </w:p>
        </w:tc>
        <w:tc>
          <w:tcPr>
            <w:tcW w:w="2822" w:type="dxa"/>
            <w:tcBorders>
              <w:left w:val="single" w:sz="4" w:space="0" w:color="000000"/>
              <w:right w:val="single" w:sz="4" w:space="0" w:color="000000"/>
            </w:tcBorders>
            <w:noWrap/>
            <w:vAlign w:val="center"/>
          </w:tcPr>
          <w:p>
            <w:pPr>
              <w:pStyle w:val="471"/>
              <w:spacing w:before="39" w:line="182" w:lineRule="auto"/>
              <w:ind w:firstLine="436"/>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预算数</w:t>
            </w:r>
          </w:p>
        </w:tc>
      </w:tr>
      <w:tr>
        <w:trPr>
          <w:trHeight w:val="498"/>
        </w:trPr>
        <w:tc>
          <w:tcPr>
            <w:tcW w:w="405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一、本年收入</w:t>
            </w:r>
          </w:p>
        </w:tc>
        <w:tc>
          <w:tcPr>
            <w:tcW w:w="3081"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一、本年支出</w:t>
            </w:r>
          </w:p>
        </w:tc>
        <w:tc>
          <w:tcPr>
            <w:tcW w:w="2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r>
      <w:tr>
        <w:trPr>
          <w:trHeight w:val="498"/>
        </w:trPr>
        <w:tc>
          <w:tcPr>
            <w:tcW w:w="405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（一）一般公共预算财政拨款</w:t>
            </w:r>
          </w:p>
        </w:tc>
        <w:tc>
          <w:tcPr>
            <w:tcW w:w="3081"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（一）一般公共服务支出</w:t>
            </w:r>
          </w:p>
        </w:tc>
        <w:tc>
          <w:tcPr>
            <w:tcW w:w="2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r>
      <w:tr>
        <w:trPr>
          <w:trHeight w:val="499"/>
        </w:trPr>
        <w:tc>
          <w:tcPr>
            <w:tcW w:w="405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（二）政府性基金预算财政拨款</w:t>
            </w:r>
          </w:p>
        </w:tc>
        <w:tc>
          <w:tcPr>
            <w:tcW w:w="3081" w:type="dxa"/>
            <w:tcBorders>
              <w:left w:val="single" w:sz="4" w:space="0" w:color="000000"/>
              <w:right w:val="single" w:sz="4" w:space="0" w:color="000000"/>
            </w:tcBorders>
            <w:noWrap/>
            <w:vAlign w:val="center"/>
          </w:tcPr>
          <w:p>
            <w:pPr>
              <w:jc w:val="right"/>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（二）外交支出</w:t>
            </w:r>
          </w:p>
        </w:tc>
        <w:tc>
          <w:tcPr>
            <w:tcW w:w="2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r>
      <w:tr>
        <w:trPr>
          <w:trHeight w:val="498"/>
        </w:trPr>
        <w:tc>
          <w:tcPr>
            <w:tcW w:w="405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（三）国有资本经营预算拨款</w:t>
            </w:r>
          </w:p>
        </w:tc>
        <w:tc>
          <w:tcPr>
            <w:tcW w:w="3081" w:type="dxa"/>
            <w:tcBorders>
              <w:left w:val="single" w:sz="4" w:space="0" w:color="000000"/>
              <w:right w:val="single" w:sz="4" w:space="0" w:color="000000"/>
            </w:tcBorders>
            <w:noWrap/>
            <w:vAlign w:val="center"/>
          </w:tcPr>
          <w:p>
            <w:pPr>
              <w:jc w:val="right"/>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（三）公共安全支出</w:t>
            </w:r>
          </w:p>
        </w:tc>
        <w:tc>
          <w:tcPr>
            <w:tcW w:w="2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r>
      <w:tr>
        <w:trPr>
          <w:trHeight w:val="498"/>
        </w:trPr>
        <w:tc>
          <w:tcPr>
            <w:tcW w:w="4055" w:type="dxa"/>
            <w:tcBorders>
              <w:left w:val="single" w:sz="4" w:space="0" w:color="000000"/>
              <w:right w:val="single" w:sz="4" w:space="0" w:color="000000"/>
            </w:tcBorders>
            <w:noWrap/>
            <w:vAlign w:val="center"/>
          </w:tcPr>
          <w:p>
            <w:pPr>
              <w:pStyle w:val="471"/>
              <w:rPr>
                <w:rFonts w:ascii="Times New Roman" w:eastAsia="宋体" w:hAnsi="Times New Roman" w:hint="eastAsia"/>
                <w:sz w:val="24"/>
                <w:szCs w:val="24"/>
                <w:highlight w:val="auto"/>
              </w:rPr>
            </w:pPr>
          </w:p>
        </w:tc>
        <w:tc>
          <w:tcPr>
            <w:tcW w:w="3081" w:type="dxa"/>
            <w:tcBorders>
              <w:left w:val="single" w:sz="4" w:space="0" w:color="000000"/>
              <w:right w:val="single" w:sz="4" w:space="0" w:color="000000"/>
            </w:tcBorders>
            <w:noWrap/>
            <w:vAlign w:val="center"/>
          </w:tcPr>
          <w:p>
            <w:pPr>
              <w:jc w:val="right"/>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（四）教育支出</w:t>
            </w:r>
          </w:p>
        </w:tc>
        <w:tc>
          <w:tcPr>
            <w:tcW w:w="2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r>
      <w:tr>
        <w:trPr>
          <w:trHeight w:val="498"/>
        </w:trPr>
        <w:tc>
          <w:tcPr>
            <w:tcW w:w="405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二、上年结转</w:t>
            </w:r>
          </w:p>
        </w:tc>
        <w:tc>
          <w:tcPr>
            <w:tcW w:w="3081"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（五）社会保障和就业支出</w:t>
            </w:r>
          </w:p>
        </w:tc>
        <w:tc>
          <w:tcPr>
            <w:tcW w:w="2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r>
      <w:tr>
        <w:trPr>
          <w:trHeight w:val="498"/>
        </w:trPr>
        <w:tc>
          <w:tcPr>
            <w:tcW w:w="405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（一）一般公共预算财政拨款</w:t>
            </w:r>
          </w:p>
        </w:tc>
        <w:tc>
          <w:tcPr>
            <w:tcW w:w="3081"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（六）卫生健康支出</w:t>
            </w:r>
          </w:p>
        </w:tc>
        <w:tc>
          <w:tcPr>
            <w:tcW w:w="2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r>
      <w:tr>
        <w:trPr>
          <w:trHeight w:val="498"/>
        </w:trPr>
        <w:tc>
          <w:tcPr>
            <w:tcW w:w="405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（二）政府性基金预算财政拨款</w:t>
            </w:r>
          </w:p>
        </w:tc>
        <w:tc>
          <w:tcPr>
            <w:tcW w:w="3081" w:type="dxa"/>
            <w:tcBorders>
              <w:left w:val="single" w:sz="4" w:space="0" w:color="000000"/>
              <w:right w:val="single" w:sz="4" w:space="0" w:color="000000"/>
            </w:tcBorders>
            <w:noWrap/>
            <w:vAlign w:val="center"/>
          </w:tcPr>
          <w:p>
            <w:pPr>
              <w:jc w:val="right"/>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（七）住房保障支出</w:t>
            </w:r>
          </w:p>
        </w:tc>
        <w:tc>
          <w:tcPr>
            <w:tcW w:w="2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4"/>
                <w:szCs w:val="24"/>
                <w:lang w:bidi="ar-SA"/>
                <w:highlight w:val="auto"/>
              </w:rPr>
            </w:pPr>
          </w:p>
        </w:tc>
      </w:tr>
      <w:tr>
        <w:trPr>
          <w:trHeight w:val="498"/>
        </w:trPr>
        <w:tc>
          <w:tcPr>
            <w:tcW w:w="4055" w:type="dxa"/>
            <w:tcBorders>
              <w:left w:val="single" w:sz="4" w:space="0" w:color="000000"/>
              <w:right w:val="single" w:sz="4" w:space="0" w:color="000000"/>
            </w:tcBorders>
            <w:noWrap/>
            <w:vAlign w:val="center"/>
          </w:tcPr>
          <w:p>
            <w:pPr>
              <w:pStyle w:val="471"/>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（三）国有资本经营预算拨款</w:t>
            </w:r>
          </w:p>
        </w:tc>
        <w:tc>
          <w:tcPr>
            <w:tcW w:w="3081" w:type="dxa"/>
            <w:tcBorders>
              <w:left w:val="single" w:sz="4" w:space="0" w:color="000000"/>
              <w:right w:val="single" w:sz="4" w:space="0" w:color="000000"/>
            </w:tcBorders>
            <w:noWrap/>
            <w:vAlign w:val="center"/>
          </w:tcPr>
          <w:p>
            <w:pPr>
              <w:jc w:val="right"/>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tcPr>
          <w:p>
            <w:pPr>
              <w:pStyle w:val="471"/>
              <w:rPr>
                <w:rFonts w:ascii="Times New Roman" w:eastAsia="宋体" w:hAnsi="Times New Roman"/>
                <w:sz w:val="24"/>
                <w:szCs w:val="24"/>
                <w:highlight w:val="auto"/>
              </w:rPr>
            </w:pPr>
          </w:p>
        </w:tc>
        <w:tc>
          <w:tcPr>
            <w:tcW w:w="2822" w:type="dxa"/>
            <w:tcBorders>
              <w:left w:val="single" w:sz="4" w:space="0" w:color="000000"/>
              <w:right w:val="single" w:sz="4" w:space="0" w:color="000000"/>
            </w:tcBorders>
            <w:noWrap/>
            <w:vAlign w:val="center"/>
          </w:tcPr>
          <w:p>
            <w:pPr>
              <w:pStyle w:val="471"/>
              <w:jc w:val="right"/>
              <w:rPr>
                <w:rFonts w:ascii="Times New Roman" w:eastAsia="宋体" w:cs="Times New Roman" w:hAnsi="Times New Roman"/>
                <w:sz w:val="24"/>
                <w:szCs w:val="24"/>
                <w:lang w:bidi="ar-SA"/>
                <w:highlight w:val="auto"/>
              </w:rPr>
            </w:pPr>
          </w:p>
        </w:tc>
      </w:tr>
      <w:tr>
        <w:trPr>
          <w:trHeight w:val="500"/>
        </w:trPr>
        <w:tc>
          <w:tcPr>
            <w:tcW w:w="4055" w:type="dxa"/>
            <w:tcBorders>
              <w:left w:val="single" w:sz="4" w:space="0" w:color="000000"/>
              <w:right w:val="single" w:sz="4" w:space="0" w:color="000000"/>
            </w:tcBorders>
            <w:noWrap/>
          </w:tcPr>
          <w:p>
            <w:pPr>
              <w:pStyle w:val="471"/>
              <w:rPr>
                <w:rFonts w:ascii="Times New Roman" w:eastAsia="宋体" w:hAnsi="Times New Roman"/>
                <w:sz w:val="24"/>
                <w:szCs w:val="24"/>
                <w:highlight w:val="auto"/>
              </w:rPr>
            </w:pPr>
          </w:p>
        </w:tc>
        <w:tc>
          <w:tcPr>
            <w:tcW w:w="3081" w:type="dxa"/>
            <w:tcBorders>
              <w:left w:val="single" w:sz="4" w:space="0" w:color="000000"/>
              <w:right w:val="single" w:sz="4" w:space="0" w:color="000000"/>
            </w:tcBorders>
            <w:noWrap/>
            <w:vAlign w:val="center"/>
          </w:tcPr>
          <w:p>
            <w:pPr>
              <w:pStyle w:val="471"/>
              <w:jc w:val="right"/>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tcPr>
          <w:p>
            <w:pPr>
              <w:pStyle w:val="471"/>
              <w:rPr>
                <w:rFonts w:ascii="Times New Roman" w:eastAsia="宋体" w:hAnsi="Times New Roman"/>
                <w:sz w:val="24"/>
                <w:szCs w:val="24"/>
                <w:highlight w:val="auto"/>
              </w:rPr>
            </w:pPr>
          </w:p>
        </w:tc>
        <w:tc>
          <w:tcPr>
            <w:tcW w:w="2822" w:type="dxa"/>
            <w:tcBorders>
              <w:left w:val="single" w:sz="4" w:space="0" w:color="000000"/>
              <w:right w:val="single" w:sz="4" w:space="0" w:color="000000"/>
            </w:tcBorders>
            <w:noWrap/>
            <w:vAlign w:val="center"/>
          </w:tcPr>
          <w:p>
            <w:pPr>
              <w:pStyle w:val="471"/>
              <w:jc w:val="right"/>
              <w:rPr>
                <w:rFonts w:ascii="Times New Roman" w:eastAsia="宋体" w:cs="Times New Roman" w:hAnsi="Times New Roman"/>
                <w:sz w:val="24"/>
                <w:szCs w:val="24"/>
                <w:lang w:bidi="ar-SA"/>
                <w:highlight w:val="auto"/>
              </w:rPr>
            </w:pPr>
          </w:p>
        </w:tc>
      </w:tr>
      <w:tr>
        <w:trPr>
          <w:trHeight w:val="498"/>
        </w:trPr>
        <w:tc>
          <w:tcPr>
            <w:tcW w:w="4055" w:type="dxa"/>
            <w:tcBorders>
              <w:left w:val="single" w:sz="4" w:space="0" w:color="000000"/>
              <w:right w:val="single" w:sz="4" w:space="0" w:color="000000"/>
            </w:tcBorders>
            <w:noWrap/>
          </w:tcPr>
          <w:p>
            <w:pPr>
              <w:pStyle w:val="471"/>
              <w:rPr>
                <w:rFonts w:ascii="Times New Roman" w:eastAsia="宋体" w:hAnsi="Times New Roman"/>
                <w:sz w:val="24"/>
                <w:szCs w:val="24"/>
                <w:highlight w:val="auto"/>
              </w:rPr>
            </w:pPr>
          </w:p>
        </w:tc>
        <w:tc>
          <w:tcPr>
            <w:tcW w:w="3081" w:type="dxa"/>
            <w:tcBorders>
              <w:left w:val="single" w:sz="4" w:space="0" w:color="000000"/>
              <w:right w:val="single" w:sz="4" w:space="0" w:color="000000"/>
            </w:tcBorders>
            <w:noWrap/>
            <w:vAlign w:val="center"/>
          </w:tcPr>
          <w:p>
            <w:pPr>
              <w:pStyle w:val="471"/>
              <w:jc w:val="right"/>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tcPr>
          <w:p>
            <w:pPr>
              <w:pStyle w:val="471"/>
              <w:rPr>
                <w:rFonts w:ascii="Times New Roman" w:eastAsia="宋体" w:hAnsi="Times New Roman"/>
                <w:sz w:val="24"/>
                <w:szCs w:val="24"/>
                <w:highlight w:val="auto"/>
              </w:rPr>
            </w:pPr>
          </w:p>
        </w:tc>
        <w:tc>
          <w:tcPr>
            <w:tcW w:w="2822" w:type="dxa"/>
            <w:tcBorders>
              <w:left w:val="single" w:sz="4" w:space="0" w:color="000000"/>
              <w:right w:val="single" w:sz="4" w:space="0" w:color="000000"/>
            </w:tcBorders>
            <w:noWrap/>
            <w:vAlign w:val="center"/>
          </w:tcPr>
          <w:p>
            <w:pPr>
              <w:pStyle w:val="471"/>
              <w:jc w:val="right"/>
              <w:rPr>
                <w:rFonts w:ascii="Times New Roman" w:eastAsia="宋体" w:cs="Times New Roman" w:hAnsi="Times New Roman"/>
                <w:sz w:val="24"/>
                <w:szCs w:val="24"/>
                <w:lang w:bidi="ar-SA"/>
                <w:highlight w:val="auto"/>
              </w:rPr>
            </w:pPr>
          </w:p>
        </w:tc>
      </w:tr>
      <w:tr>
        <w:trPr>
          <w:trHeight w:val="498"/>
        </w:trPr>
        <w:tc>
          <w:tcPr>
            <w:tcW w:w="4055" w:type="dxa"/>
            <w:tcBorders>
              <w:left w:val="single" w:sz="4" w:space="0" w:color="000000"/>
              <w:right w:val="single" w:sz="4" w:space="0" w:color="000000"/>
            </w:tcBorders>
            <w:noWrap/>
          </w:tcPr>
          <w:p>
            <w:pPr>
              <w:pStyle w:val="471"/>
              <w:rPr>
                <w:rFonts w:ascii="Times New Roman" w:eastAsia="宋体" w:hAnsi="Times New Roman"/>
                <w:sz w:val="24"/>
                <w:szCs w:val="24"/>
                <w:highlight w:val="auto"/>
              </w:rPr>
            </w:pPr>
          </w:p>
        </w:tc>
        <w:tc>
          <w:tcPr>
            <w:tcW w:w="3081" w:type="dxa"/>
            <w:tcBorders>
              <w:left w:val="single" w:sz="4" w:space="0" w:color="000000"/>
              <w:right w:val="single" w:sz="4" w:space="0" w:color="000000"/>
            </w:tcBorders>
            <w:noWrap/>
            <w:vAlign w:val="center"/>
          </w:tcPr>
          <w:p>
            <w:pPr>
              <w:pStyle w:val="471"/>
              <w:jc w:val="right"/>
              <w:rPr>
                <w:rFonts w:ascii="Times New Roman" w:eastAsia="宋体" w:cs="Times New Roman" w:hAnsi="Times New Roman"/>
                <w:sz w:val="24"/>
                <w:szCs w:val="24"/>
                <w:lang w:bidi="ar-SA"/>
                <w:highlight w:val="auto"/>
              </w:rPr>
            </w:pPr>
          </w:p>
        </w:tc>
        <w:tc>
          <w:tcPr>
            <w:tcW w:w="4225" w:type="dxa"/>
            <w:tcBorders>
              <w:left w:val="single" w:sz="4" w:space="0" w:color="000000"/>
              <w:right w:val="single" w:sz="4" w:space="0" w:color="000000"/>
            </w:tcBorders>
            <w:noWrap/>
          </w:tcPr>
          <w:p>
            <w:pPr>
              <w:pStyle w:val="471"/>
              <w:rPr>
                <w:rFonts w:ascii="Times New Roman" w:eastAsia="宋体" w:hAnsi="Times New Roman"/>
                <w:sz w:val="24"/>
                <w:szCs w:val="24"/>
                <w:highlight w:val="auto"/>
              </w:rPr>
            </w:pPr>
          </w:p>
        </w:tc>
        <w:tc>
          <w:tcPr>
            <w:tcW w:w="2822" w:type="dxa"/>
            <w:tcBorders>
              <w:left w:val="single" w:sz="4" w:space="0" w:color="000000"/>
              <w:right w:val="single" w:sz="4" w:space="0" w:color="000000"/>
            </w:tcBorders>
            <w:noWrap/>
            <w:vAlign w:val="center"/>
          </w:tcPr>
          <w:p>
            <w:pPr>
              <w:pStyle w:val="471"/>
              <w:jc w:val="right"/>
              <w:rPr>
                <w:rFonts w:ascii="Times New Roman" w:eastAsia="宋体" w:cs="Times New Roman" w:hAnsi="Times New Roman"/>
                <w:sz w:val="24"/>
                <w:szCs w:val="24"/>
                <w:lang w:bidi="ar-SA"/>
                <w:highlight w:val="auto"/>
              </w:rPr>
            </w:pPr>
          </w:p>
        </w:tc>
      </w:tr>
      <w:tr>
        <w:trPr>
          <w:trHeight w:val="506"/>
        </w:trPr>
        <w:tc>
          <w:tcPr>
            <w:tcW w:w="4055" w:type="dxa"/>
            <w:tcBorders>
              <w:left w:val="single" w:sz="4" w:space="0" w:color="000000"/>
              <w:right w:val="single" w:sz="4" w:space="0" w:color="000000"/>
            </w:tcBorders>
            <w:noWrap/>
          </w:tcPr>
          <w:p>
            <w:pPr>
              <w:pStyle w:val="471"/>
              <w:spacing w:before="111" w:line="185" w:lineRule="auto"/>
              <w:ind w:firstLine="992"/>
              <w:rPr>
                <w:rFonts w:ascii="Times New Roman" w:eastAsia="宋体" w:cs="宋体" w:hAnsi="Times New Roman" w:hint="eastAsia"/>
                <w:sz w:val="24"/>
                <w:szCs w:val="24"/>
                <w:lang w:bidi="ar-SA"/>
                <w:highlight w:val="auto"/>
              </w:rPr>
            </w:pPr>
            <w:r>
              <w:rPr>
                <w:rFonts w:ascii="Times New Roman" w:eastAsia="宋体" w:cs="宋体" w:hAnsi="Times New Roman" w:hint="eastAsia"/>
                <w:spacing w:val="-11"/>
                <w:sz w:val="24"/>
                <w:szCs w:val="24"/>
                <w:lang w:bidi="ar-SA"/>
                <w:highlight w:val="auto"/>
              </w:rPr>
              <w:t>收</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1"/>
                <w:sz w:val="24"/>
                <w:szCs w:val="24"/>
                <w:lang w:bidi="ar-SA"/>
                <w:highlight w:val="auto"/>
              </w:rPr>
              <w:t>入</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1"/>
                <w:sz w:val="24"/>
                <w:szCs w:val="24"/>
                <w:lang w:bidi="ar-SA"/>
                <w:highlight w:val="auto"/>
              </w:rPr>
              <w:t>总</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1"/>
                <w:sz w:val="24"/>
                <w:szCs w:val="24"/>
                <w:lang w:bidi="ar-SA"/>
                <w:highlight w:val="auto"/>
              </w:rPr>
              <w:t>计</w:t>
            </w:r>
          </w:p>
        </w:tc>
        <w:tc>
          <w:tcPr>
            <w:tcW w:w="3081"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color w:val="000000"/>
                <w:kern w:val="2"/>
                <w:sz w:val="24"/>
                <w:szCs w:val="24"/>
                <w:u w:val="none"/>
                <w:lang w:val="en-US" w:eastAsia="zh-CN" w:bidi="ar-SA"/>
              </w:rPr>
            </w:pPr>
          </w:p>
        </w:tc>
        <w:tc>
          <w:tcPr>
            <w:tcW w:w="4225" w:type="dxa"/>
            <w:tcBorders>
              <w:left w:val="single" w:sz="4" w:space="0" w:color="000000"/>
              <w:right w:val="single" w:sz="4" w:space="0" w:color="000000"/>
            </w:tcBorders>
            <w:noWrap/>
          </w:tcPr>
          <w:p>
            <w:pPr>
              <w:pStyle w:val="471"/>
              <w:spacing w:before="111" w:line="185" w:lineRule="auto"/>
              <w:ind w:firstLine="499"/>
              <w:rPr>
                <w:rFonts w:ascii="Times New Roman" w:eastAsia="宋体" w:cs="宋体" w:hAnsi="Times New Roman" w:hint="eastAsia"/>
                <w:sz w:val="24"/>
                <w:szCs w:val="24"/>
                <w:lang w:bidi="ar-SA"/>
                <w:highlight w:val="auto"/>
              </w:rPr>
            </w:pPr>
            <w:r>
              <w:rPr>
                <w:rFonts w:ascii="Times New Roman" w:eastAsia="宋体" w:cs="宋体" w:hAnsi="Times New Roman" w:hint="eastAsia"/>
                <w:spacing w:val="-15"/>
                <w:sz w:val="24"/>
                <w:szCs w:val="24"/>
                <w:lang w:bidi="ar-SA"/>
                <w:highlight w:val="auto"/>
              </w:rPr>
              <w:t>支</w:t>
            </w:r>
            <w:r>
              <w:rPr>
                <w:rFonts w:ascii="Times New Roman" w:eastAsia="宋体" w:cs="宋体" w:hAnsi="Times New Roman" w:hint="eastAsia"/>
                <w:spacing w:val="9"/>
                <w:sz w:val="24"/>
                <w:szCs w:val="24"/>
                <w:lang w:bidi="ar-SA"/>
                <w:highlight w:val="auto"/>
              </w:rPr>
              <w:t xml:space="preserve">    </w:t>
            </w:r>
            <w:r>
              <w:rPr>
                <w:rFonts w:ascii="Times New Roman" w:eastAsia="宋体" w:cs="宋体" w:hAnsi="Times New Roman" w:hint="eastAsia"/>
                <w:spacing w:val="-15"/>
                <w:sz w:val="24"/>
                <w:szCs w:val="24"/>
                <w:lang w:bidi="ar-SA"/>
                <w:highlight w:val="auto"/>
              </w:rPr>
              <w:t>出</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5"/>
                <w:sz w:val="24"/>
                <w:szCs w:val="24"/>
                <w:lang w:bidi="ar-SA"/>
                <w:highlight w:val="auto"/>
              </w:rPr>
              <w:t>总</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5"/>
                <w:sz w:val="24"/>
                <w:szCs w:val="24"/>
                <w:lang w:bidi="ar-SA"/>
                <w:highlight w:val="auto"/>
              </w:rPr>
              <w:t>计</w:t>
            </w:r>
          </w:p>
        </w:tc>
        <w:tc>
          <w:tcPr>
            <w:tcW w:w="2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color w:val="000000"/>
                <w:kern w:val="2"/>
                <w:sz w:val="24"/>
                <w:szCs w:val="24"/>
                <w:u w:val="none"/>
                <w:lang w:val="en-US" w:eastAsia="zh-CN" w:bidi="ar-SA"/>
              </w:rPr>
            </w:pPr>
          </w:p>
        </w:tc>
      </w:tr>
    </w:tbl>
    <w:p>
      <w:pPr>
        <w:pStyle w:val="471"/>
        <w:rPr>
          <w:rFonts w:ascii="Times New Roman" w:eastAsia="宋体" w:hAnsi="Times New Roman"/>
          <w:highlight w:val="auto"/>
        </w:rPr>
      </w:pPr>
    </w:p>
    <w:p>
      <w:pPr>
        <w:pStyle w:val="471"/>
        <w:rPr>
          <w:rFonts w:ascii="Times New Roman" w:eastAsia="宋体" w:hAnsi="Times New Roman"/>
          <w:highlight w:val="auto"/>
        </w:rPr>
        <w:sectPr>
          <w:pgSz w:w="16841" w:h="11907"/>
          <w:pgMar w:top="548" w:right="1322" w:bottom="0" w:left="1324" w:header="0" w:footer="0" w:gutter="0"/>
          <w:docGrid w:linePitch="285" w:charSpace="0"/>
        </w:sectPr>
      </w:pPr>
    </w:p>
    <w:p>
      <w:pPr>
        <w:jc w:val="right"/>
        <w:rPr>
          <w:rFonts w:ascii="黑体" w:eastAsia="黑体" w:cs="黑体" w:hint="eastAsia"/>
          <w:sz w:val="20"/>
          <w:szCs w:val="20"/>
          <w:lang w:bidi="ar-SA"/>
          <w:highlight w:val="auto"/>
        </w:rPr>
      </w:pPr>
      <w:r>
        <w:rPr>
          <w:rFonts w:ascii="黑体" w:eastAsia="黑体" w:cs="黑体" w:hint="eastAsia"/>
          <w:snapToGrid w:val="0"/>
          <w:sz w:val="20"/>
          <w:szCs w:val="20"/>
          <w:lang w:bidi="ar-SA"/>
          <w:highlight w:val="auto"/>
        </w:rPr>
        <w:t>部门公开表 5</w:t>
      </w:r>
    </w:p>
    <w:p>
      <w:pPr>
        <w:jc w:val="center"/>
        <w:rPr>
          <w:rFonts w:cs="Microsoft JhengHei" w:hint="eastAsia"/>
          <w:b/>
          <w:snapToGrid w:val="0"/>
          <w:color w:val="000000"/>
          <w:sz w:val="36"/>
          <w:szCs w:val="36"/>
          <w:lang w:bidi="ar-SA"/>
          <w:highlight w:val="auto"/>
        </w:rPr>
      </w:pPr>
      <w:r>
        <w:rPr>
          <w:rFonts w:cs="Microsoft JhengHei" w:hint="eastAsia"/>
          <w:b/>
          <w:snapToGrid w:val="0"/>
          <w:color w:val="000000"/>
          <w:sz w:val="36"/>
          <w:szCs w:val="36"/>
          <w:lang w:bidi="ar-SA"/>
          <w:highlight w:val="auto"/>
        </w:rPr>
        <w:t>一般公共预算支出表</w:t>
      </w:r>
    </w:p>
    <w:p>
      <w:pPr>
        <w:pStyle w:val="473"/>
        <w:spacing w:before="39" w:line="180" w:lineRule="auto"/>
        <w:ind w:firstLineChars="6801" w:firstLine="13194"/>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 xml:space="preserve">     单位：万元</w:t>
      </w:r>
    </w:p>
    <w:p>
      <w:pPr>
        <w:pStyle w:val="473"/>
        <w:spacing w:line="19" w:lineRule="auto"/>
        <w:rPr>
          <w:rFonts w:ascii="Times New Roman" w:eastAsia="宋体" w:hAnsi="Times New Roman"/>
          <w:sz w:val="2"/>
          <w:highlight w:val="auto"/>
        </w:rPr>
      </w:pPr>
    </w:p>
    <w:p>
      <w:pPr>
        <w:pStyle w:val="473"/>
        <w:rPr>
          <w:rFonts w:ascii="Times New Roman" w:eastAsia="宋体" w:hAnsi="Times New Roman"/>
          <w:highlight w:val="auto"/>
        </w:rPr>
      </w:pPr>
    </w:p>
    <w:tbl>
      <w:tblPr>
        <w:jc w:val="left"/>
        <w:tblInd w:w="45" w:type="dxa"/>
        <w:tblW w:w="14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3"/>
        <w:gridCol w:w="2440"/>
        <w:gridCol w:w="1200"/>
        <w:gridCol w:w="1127"/>
        <w:gridCol w:w="1183"/>
        <w:gridCol w:w="1207"/>
        <w:gridCol w:w="1150"/>
        <w:gridCol w:w="1203"/>
        <w:gridCol w:w="1177"/>
        <w:gridCol w:w="1210"/>
        <w:gridCol w:w="1120"/>
        <w:gridCol w:w="960"/>
      </w:tblGrid>
      <w:tr>
        <w:trPr>
          <w:trHeight w:val="716"/>
        </w:trPr>
        <w:tc>
          <w:tcPr>
            <w:tcW w:w="3423" w:type="dxa"/>
            <w:gridSpan w:val="2"/>
            <w:tcBorders>
              <w:top w:val="single" w:sz="4" w:space="0" w:color="000000"/>
              <w:left w:val="single" w:sz="4" w:space="0" w:color="000000"/>
              <w:bottom w:val="single" w:sz="4" w:space="0" w:color="000000"/>
              <w:right w:val="single" w:sz="4" w:space="0" w:color="000000"/>
            </w:tcBorders>
            <w:noWrap/>
            <w:vAlign w:val="center"/>
          </w:tcPr>
          <w:p>
            <w:pPr>
              <w:pStyle w:val="474"/>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noWrap/>
            <w:vAlign w:val="center"/>
          </w:tcPr>
          <w:p>
            <w:pPr>
              <w:pStyle w:val="475"/>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val="en-US" w:eastAsia="zh-CN" w:bidi="ar-SA"/>
                <w:highlight w:val="auto"/>
              </w:rPr>
              <w:t>4</w:t>
            </w:r>
            <w:r>
              <w:rPr>
                <w:rFonts w:ascii="Times New Roman" w:eastAsia="宋体" w:cs="Microsoft JhengHei" w:hAnsi="Times New Roman" w:hint="eastAsia"/>
                <w:spacing w:val="-4"/>
                <w:sz w:val="16"/>
                <w:szCs w:val="16"/>
                <w:lang w:bidi="ar-SA"/>
                <w:highlight w:val="auto"/>
              </w:rPr>
              <w:t>年执行数</w:t>
            </w:r>
          </w:p>
        </w:tc>
        <w:tc>
          <w:tcPr>
            <w:tcW w:w="4743" w:type="dxa"/>
            <w:gridSpan w:val="4"/>
            <w:tcBorders>
              <w:top w:val="single" w:sz="4" w:space="0" w:color="000000"/>
              <w:left w:val="single" w:sz="4" w:space="0" w:color="000000"/>
              <w:bottom w:val="single" w:sz="4" w:space="0" w:color="000000"/>
              <w:right w:val="single" w:sz="4" w:space="0" w:color="000000"/>
            </w:tcBorders>
            <w:noWrap/>
            <w:vAlign w:val="center"/>
          </w:tcPr>
          <w:p>
            <w:pPr>
              <w:pStyle w:val="476"/>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val="en-US" w:eastAsia="zh-CN" w:bidi="ar-SA"/>
                <w:highlight w:val="auto"/>
              </w:rPr>
              <w:t>5</w:t>
            </w:r>
            <w:r>
              <w:rPr>
                <w:rFonts w:ascii="Times New Roman" w:eastAsia="宋体" w:cs="Microsoft JhengHei" w:hAnsi="Times New Roman" w:hint="eastAsia"/>
                <w:spacing w:val="-4"/>
                <w:sz w:val="16"/>
                <w:szCs w:val="16"/>
                <w:lang w:bidi="ar-SA"/>
                <w:highlight w:val="auto"/>
              </w:rPr>
              <w:t>年预算数</w:t>
            </w:r>
          </w:p>
        </w:tc>
        <w:tc>
          <w:tcPr>
            <w:tcW w:w="2387" w:type="dxa"/>
            <w:gridSpan w:val="2"/>
            <w:tcBorders>
              <w:top w:val="single" w:sz="4" w:space="0" w:color="000000"/>
              <w:left w:val="single" w:sz="4" w:space="0" w:color="000000"/>
              <w:bottom w:val="single" w:sz="4" w:space="0" w:color="000000"/>
              <w:right w:val="single" w:sz="4" w:space="0" w:color="000000"/>
            </w:tcBorders>
            <w:noWrap/>
            <w:vAlign w:val="center"/>
          </w:tcPr>
          <w:p>
            <w:pPr>
              <w:pStyle w:val="477"/>
              <w:widowControl/>
              <w:jc w:val="center"/>
              <w:textAlignment w:val="center"/>
              <w:rPr>
                <w:sz w:val="16"/>
                <w:szCs w:val="16"/>
                <w:highlight w:val="auto"/>
              </w:rPr>
            </w:pPr>
            <w:r>
              <w:rPr>
                <w:color w:val="000000"/>
                <w:kern w:val="0"/>
                <w:sz w:val="16"/>
                <w:szCs w:val="16"/>
                <w:highlight w:val="auto"/>
              </w:rPr>
              <w:t>202</w:t>
            </w:r>
            <w:r>
              <w:rPr>
                <w:color w:val="000000"/>
                <w:kern w:val="0"/>
                <w:sz w:val="16"/>
                <w:szCs w:val="16"/>
                <w:lang w:val="en-US" w:eastAsia="zh-CN"/>
                <w:highlight w:val="auto"/>
              </w:rPr>
              <w:t>5</w:t>
            </w:r>
            <w:r>
              <w:rPr>
                <w:color w:val="000000"/>
                <w:kern w:val="0"/>
                <w:sz w:val="16"/>
                <w:szCs w:val="16"/>
                <w:highlight w:val="auto"/>
              </w:rPr>
              <w:t>年预算数比</w:t>
              <w:br/>
              <w:t>202</w:t>
            </w:r>
            <w:r>
              <w:rPr>
                <w:color w:val="000000"/>
                <w:kern w:val="0"/>
                <w:sz w:val="16"/>
                <w:szCs w:val="16"/>
                <w:lang w:val="en-US" w:eastAsia="zh-CN"/>
                <w:highlight w:val="auto"/>
              </w:rPr>
              <w:t>4</w:t>
            </w:r>
            <w:r>
              <w:rPr>
                <w:color w:val="000000"/>
                <w:kern w:val="0"/>
                <w:sz w:val="16"/>
                <w:szCs w:val="16"/>
                <w:highlight w:val="auto"/>
              </w:rPr>
              <w:t>年执行数</w:t>
            </w:r>
          </w:p>
        </w:tc>
        <w:tc>
          <w:tcPr>
            <w:tcW w:w="2080" w:type="dxa"/>
            <w:gridSpan w:val="2"/>
            <w:tcBorders>
              <w:top w:val="single" w:sz="4" w:space="0" w:color="000000"/>
              <w:left w:val="single" w:sz="4" w:space="0" w:color="000000"/>
              <w:bottom w:val="single" w:sz="4" w:space="0" w:color="000000"/>
              <w:right w:val="single" w:sz="4" w:space="0" w:color="000000"/>
            </w:tcBorders>
            <w:noWrap/>
            <w:vAlign w:val="center"/>
          </w:tcPr>
          <w:p>
            <w:pPr>
              <w:pStyle w:val="478"/>
              <w:spacing w:before="30" w:line="180" w:lineRule="auto"/>
              <w:ind w:firstLine="135"/>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bidi="ar-SA"/>
                <w:highlight w:val="auto"/>
              </w:rPr>
              <w:t>5</w:t>
            </w:r>
            <w:r>
              <w:rPr>
                <w:rFonts w:ascii="Times New Roman" w:eastAsia="宋体" w:cs="Microsoft JhengHei" w:hAnsi="Times New Roman" w:hint="eastAsia"/>
                <w:spacing w:val="-4"/>
                <w:sz w:val="16"/>
                <w:szCs w:val="16"/>
                <w:lang w:bidi="ar-SA"/>
                <w:highlight w:val="auto"/>
              </w:rPr>
              <w:t>年预算数比</w:t>
            </w:r>
          </w:p>
          <w:p>
            <w:pPr>
              <w:pStyle w:val="478"/>
              <w:spacing w:before="30" w:line="180" w:lineRule="auto"/>
              <w:ind w:firstLine="135"/>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val="en-US" w:eastAsia="zh-CN" w:bidi="ar-SA"/>
                <w:highlight w:val="auto"/>
              </w:rPr>
              <w:t>4</w:t>
            </w:r>
            <w:r>
              <w:rPr>
                <w:rFonts w:ascii="Times New Roman" w:eastAsia="宋体" w:cs="Microsoft JhengHei" w:hAnsi="Times New Roman" w:hint="eastAsia"/>
                <w:spacing w:val="-4"/>
                <w:sz w:val="16"/>
                <w:szCs w:val="16"/>
                <w:lang w:bidi="ar-SA"/>
                <w:highlight w:val="auto"/>
              </w:rPr>
              <w:t>年执行数</w:t>
            </w:r>
          </w:p>
          <w:p>
            <w:pPr>
              <w:pStyle w:val="478"/>
              <w:spacing w:before="30" w:line="180" w:lineRule="auto"/>
              <w:ind w:firstLine="135"/>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（扣除中央基建投资）</w:t>
            </w:r>
          </w:p>
        </w:tc>
      </w:tr>
      <w:tr>
        <w:trPr>
          <w:trHeight w:val="290"/>
        </w:trPr>
        <w:tc>
          <w:tcPr>
            <w:tcW w:w="983" w:type="dxa"/>
            <w:vMerge w:val="restart"/>
            <w:tcBorders>
              <w:top w:val="single" w:sz="4" w:space="0" w:color="000000"/>
              <w:left w:val="single" w:sz="4" w:space="0" w:color="000000"/>
              <w:bottom w:val="nil"/>
              <w:right w:val="single" w:sz="4" w:space="0" w:color="000000"/>
            </w:tcBorders>
            <w:noWrap/>
            <w:vAlign w:val="center"/>
          </w:tcPr>
          <w:p>
            <w:pPr>
              <w:pStyle w:val="479"/>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科目编码</w:t>
            </w:r>
          </w:p>
        </w:tc>
        <w:tc>
          <w:tcPr>
            <w:tcW w:w="2440" w:type="dxa"/>
            <w:vMerge w:val="restart"/>
            <w:tcBorders>
              <w:top w:val="single" w:sz="4" w:space="0" w:color="000000"/>
              <w:left w:val="single" w:sz="4" w:space="0" w:color="000000"/>
              <w:bottom w:val="nil"/>
              <w:right w:val="single" w:sz="4" w:space="0" w:color="000000"/>
            </w:tcBorders>
            <w:noWrap/>
            <w:vAlign w:val="center"/>
          </w:tcPr>
          <w:p>
            <w:pPr>
              <w:pStyle w:val="480"/>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科目名称</w:t>
            </w:r>
          </w:p>
        </w:tc>
        <w:tc>
          <w:tcPr>
            <w:tcW w:w="1200" w:type="dxa"/>
            <w:vMerge w:val="restart"/>
            <w:tcBorders>
              <w:top w:val="single" w:sz="4" w:space="0" w:color="000000"/>
              <w:left w:val="single" w:sz="4" w:space="0" w:color="000000"/>
              <w:bottom w:val="nil"/>
              <w:right w:val="single" w:sz="4" w:space="0" w:color="000000"/>
            </w:tcBorders>
            <w:noWrap/>
            <w:vAlign w:val="center"/>
          </w:tcPr>
          <w:p>
            <w:pPr>
              <w:pStyle w:val="481"/>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执行数</w:t>
            </w:r>
          </w:p>
        </w:tc>
        <w:tc>
          <w:tcPr>
            <w:tcW w:w="1127" w:type="dxa"/>
            <w:vMerge w:val="restart"/>
            <w:tcBorders>
              <w:top w:val="single" w:sz="4" w:space="0" w:color="000000"/>
              <w:left w:val="single" w:sz="4" w:space="0" w:color="000000"/>
              <w:bottom w:val="nil"/>
              <w:right w:val="single" w:sz="4" w:space="0" w:color="000000"/>
            </w:tcBorders>
            <w:noWrap/>
            <w:vAlign w:val="center"/>
          </w:tcPr>
          <w:p>
            <w:pPr>
              <w:pStyle w:val="482"/>
              <w:spacing w:before="79" w:line="202" w:lineRule="auto"/>
              <w:ind w:left="113" w:right="105" w:firstLine="3"/>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noWrap/>
            <w:vAlign w:val="center"/>
          </w:tcPr>
          <w:p>
            <w:pPr>
              <w:pStyle w:val="483"/>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年初预算数</w:t>
            </w:r>
          </w:p>
        </w:tc>
        <w:tc>
          <w:tcPr>
            <w:tcW w:w="1203" w:type="dxa"/>
            <w:vMerge w:val="restart"/>
            <w:tcBorders>
              <w:top w:val="single" w:sz="4" w:space="0" w:color="000000"/>
              <w:left w:val="single" w:sz="4" w:space="0" w:color="000000"/>
              <w:bottom w:val="nil"/>
              <w:right w:val="single" w:sz="4" w:space="0" w:color="000000"/>
            </w:tcBorders>
            <w:noWrap/>
            <w:vAlign w:val="center"/>
          </w:tcPr>
          <w:p>
            <w:pPr>
              <w:pStyle w:val="484"/>
              <w:spacing w:before="79" w:line="202" w:lineRule="auto"/>
              <w:ind w:left="152" w:right="140" w:firstLine="3"/>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扣除中央基建投资后预算数</w:t>
            </w:r>
          </w:p>
        </w:tc>
        <w:tc>
          <w:tcPr>
            <w:tcW w:w="1177" w:type="dxa"/>
            <w:vMerge w:val="restart"/>
            <w:tcBorders>
              <w:top w:val="single" w:sz="4" w:space="0" w:color="000000"/>
              <w:left w:val="single" w:sz="4" w:space="0" w:color="000000"/>
              <w:bottom w:val="nil"/>
              <w:right w:val="single" w:sz="4" w:space="0" w:color="000000"/>
            </w:tcBorders>
            <w:noWrap/>
            <w:vAlign w:val="center"/>
          </w:tcPr>
          <w:p>
            <w:pPr>
              <w:pStyle w:val="485"/>
              <w:widowControl/>
              <w:jc w:val="center"/>
              <w:textAlignment w:val="center"/>
              <w:rPr>
                <w:sz w:val="16"/>
                <w:szCs w:val="16"/>
                <w:highlight w:val="auto"/>
              </w:rPr>
            </w:pPr>
            <w:r>
              <w:rPr>
                <w:color w:val="000000"/>
                <w:kern w:val="0"/>
                <w:sz w:val="16"/>
                <w:szCs w:val="16"/>
                <w:highlight w:val="auto"/>
              </w:rPr>
              <w:t>增减额</w:t>
            </w:r>
          </w:p>
        </w:tc>
        <w:tc>
          <w:tcPr>
            <w:tcW w:w="1210" w:type="dxa"/>
            <w:vMerge w:val="restart"/>
            <w:tcBorders>
              <w:top w:val="single" w:sz="4" w:space="0" w:color="000000"/>
              <w:left w:val="single" w:sz="4" w:space="0" w:color="000000"/>
              <w:right w:val="single" w:sz="4" w:space="0" w:color="000000"/>
            </w:tcBorders>
            <w:noWrap/>
            <w:vAlign w:val="center"/>
          </w:tcPr>
          <w:p>
            <w:pPr>
              <w:pStyle w:val="486"/>
              <w:widowControl/>
              <w:jc w:val="center"/>
              <w:textAlignment w:val="center"/>
              <w:rPr>
                <w:sz w:val="16"/>
                <w:szCs w:val="16"/>
                <w:highlight w:val="auto"/>
              </w:rPr>
            </w:pPr>
            <w:r>
              <w:rPr>
                <w:color w:val="000000"/>
                <w:kern w:val="0"/>
                <w:sz w:val="16"/>
                <w:szCs w:val="16"/>
                <w:highlight w:val="auto"/>
              </w:rPr>
              <w:t>增减(%)</w:t>
            </w:r>
          </w:p>
        </w:tc>
        <w:tc>
          <w:tcPr>
            <w:tcW w:w="1120" w:type="dxa"/>
            <w:vMerge w:val="restart"/>
            <w:tcBorders>
              <w:top w:val="single" w:sz="4" w:space="0" w:color="000000"/>
              <w:left w:val="single" w:sz="4" w:space="0" w:color="000000"/>
              <w:right w:val="single" w:sz="4" w:space="0" w:color="000000"/>
            </w:tcBorders>
            <w:noWrap/>
            <w:vAlign w:val="center"/>
          </w:tcPr>
          <w:p>
            <w:pPr>
              <w:pStyle w:val="487"/>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增减额</w:t>
            </w:r>
          </w:p>
        </w:tc>
        <w:tc>
          <w:tcPr>
            <w:tcW w:w="960" w:type="dxa"/>
            <w:vMerge w:val="restart"/>
            <w:tcBorders>
              <w:top w:val="single" w:sz="4" w:space="0" w:color="000000"/>
              <w:left w:val="single" w:sz="4" w:space="0" w:color="000000"/>
              <w:right w:val="single" w:sz="4" w:space="0" w:color="000000"/>
            </w:tcBorders>
            <w:noWrap/>
            <w:vAlign w:val="center"/>
          </w:tcPr>
          <w:p>
            <w:pPr>
              <w:pStyle w:val="488"/>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z w:val="16"/>
                <w:szCs w:val="16"/>
                <w:lang w:bidi="ar-SA"/>
                <w:highlight w:val="auto"/>
              </w:rPr>
              <w:t>增减(%)</w:t>
            </w:r>
          </w:p>
        </w:tc>
      </w:tr>
      <w:tr>
        <w:trPr>
          <w:trHeight w:val="291"/>
        </w:trPr>
        <w:tc>
          <w:tcPr>
            <w:tcW w:w="983" w:type="dxa"/>
            <w:vMerge/>
            <w:tcBorders>
              <w:top w:val="nil"/>
              <w:left w:val="single" w:sz="4" w:space="0" w:color="000000"/>
              <w:bottom w:val="single" w:sz="4" w:space="0" w:color="000000"/>
              <w:right w:val="single" w:sz="4" w:space="0" w:color="000000"/>
            </w:tcBorders>
            <w:noWrap/>
          </w:tcPr>
          <w:p/>
        </w:tc>
        <w:tc>
          <w:tcPr>
            <w:tcW w:w="2440" w:type="dxa"/>
            <w:vMerge/>
            <w:tcBorders>
              <w:top w:val="nil"/>
              <w:left w:val="single" w:sz="4" w:space="0" w:color="000000"/>
              <w:bottom w:val="single" w:sz="4" w:space="0" w:color="000000"/>
              <w:right w:val="single" w:sz="4" w:space="0" w:color="000000"/>
            </w:tcBorders>
            <w:noWrap/>
          </w:tcPr>
          <w:p/>
        </w:tc>
        <w:tc>
          <w:tcPr>
            <w:tcW w:w="1200" w:type="dxa"/>
            <w:vMerge/>
            <w:tcBorders>
              <w:top w:val="nil"/>
              <w:left w:val="single" w:sz="4" w:space="0" w:color="000000"/>
              <w:bottom w:val="single" w:sz="4" w:space="0" w:color="000000"/>
              <w:right w:val="single" w:sz="4" w:space="0" w:color="000000"/>
            </w:tcBorders>
            <w:noWrap/>
          </w:tcPr>
          <w:p/>
        </w:tc>
        <w:tc>
          <w:tcPr>
            <w:tcW w:w="1127" w:type="dxa"/>
            <w:vMerge/>
            <w:tcBorders>
              <w:top w:val="nil"/>
              <w:left w:val="single" w:sz="4" w:space="0" w:color="000000"/>
              <w:bottom w:val="single" w:sz="4" w:space="0" w:color="000000"/>
              <w:right w:val="single" w:sz="4" w:space="0" w:color="000000"/>
            </w:tcBorders>
            <w:noWrap/>
          </w:tcPr>
          <w:p/>
        </w:tc>
        <w:tc>
          <w:tcPr>
            <w:tcW w:w="1183" w:type="dxa"/>
            <w:tcBorders>
              <w:top w:val="single" w:sz="4" w:space="0" w:color="000000"/>
              <w:left w:val="single" w:sz="4" w:space="0" w:color="000000"/>
              <w:bottom w:val="single" w:sz="4" w:space="0" w:color="000000"/>
              <w:right w:val="single" w:sz="4" w:space="0" w:color="000000"/>
            </w:tcBorders>
            <w:noWrap/>
            <w:vAlign w:val="center"/>
          </w:tcPr>
          <w:p>
            <w:pPr>
              <w:pStyle w:val="48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小计</w:t>
            </w:r>
          </w:p>
        </w:tc>
        <w:tc>
          <w:tcPr>
            <w:tcW w:w="1207" w:type="dxa"/>
            <w:tcBorders>
              <w:top w:val="single" w:sz="4" w:space="0" w:color="000000"/>
              <w:left w:val="single" w:sz="4" w:space="0" w:color="000000"/>
              <w:bottom w:val="single" w:sz="4" w:space="0" w:color="000000"/>
              <w:right w:val="single" w:sz="4" w:space="0" w:color="000000"/>
            </w:tcBorders>
            <w:noWrap/>
            <w:vAlign w:val="center"/>
          </w:tcPr>
          <w:p>
            <w:pPr>
              <w:pStyle w:val="490"/>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基本支出</w:t>
            </w:r>
          </w:p>
        </w:tc>
        <w:tc>
          <w:tcPr>
            <w:tcW w:w="1150" w:type="dxa"/>
            <w:tcBorders>
              <w:top w:val="single" w:sz="4" w:space="0" w:color="000000"/>
              <w:left w:val="single" w:sz="4" w:space="0" w:color="000000"/>
              <w:bottom w:val="single" w:sz="4" w:space="0" w:color="000000"/>
              <w:right w:val="single" w:sz="4" w:space="0" w:color="000000"/>
            </w:tcBorders>
            <w:noWrap/>
            <w:vAlign w:val="center"/>
          </w:tcPr>
          <w:p>
            <w:pPr>
              <w:pStyle w:val="491"/>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项目支出</w:t>
            </w:r>
          </w:p>
        </w:tc>
        <w:tc>
          <w:tcPr>
            <w:tcW w:w="1203" w:type="dxa"/>
            <w:vMerge/>
            <w:tcBorders>
              <w:top w:val="nil"/>
              <w:left w:val="single" w:sz="4" w:space="0" w:color="000000"/>
              <w:bottom w:val="single" w:sz="4" w:space="0" w:color="000000"/>
              <w:right w:val="single" w:sz="4" w:space="0" w:color="000000"/>
            </w:tcBorders>
            <w:noWrap/>
          </w:tcPr>
          <w:p/>
        </w:tc>
        <w:tc>
          <w:tcPr>
            <w:tcW w:w="1177" w:type="dxa"/>
            <w:vMerge/>
            <w:tcBorders>
              <w:top w:val="nil"/>
              <w:left w:val="single" w:sz="4" w:space="0" w:color="000000"/>
              <w:bottom w:val="single" w:sz="4" w:space="0" w:color="000000"/>
              <w:right w:val="single" w:sz="4" w:space="0" w:color="000000"/>
            </w:tcBorders>
            <w:noWrap/>
          </w:tcPr>
          <w:p/>
        </w:tc>
        <w:tc>
          <w:tcPr>
            <w:tcW w:w="1210" w:type="dxa"/>
            <w:vMerge/>
            <w:tcBorders>
              <w:top w:val="single" w:sz="4" w:space="0" w:color="000000"/>
              <w:left w:val="single" w:sz="4" w:space="0" w:color="000000"/>
              <w:bottom w:val="single" w:sz="4" w:space="0" w:color="000000"/>
              <w:right w:val="single" w:sz="4" w:space="0" w:color="000000"/>
            </w:tcBorders>
            <w:noWrap/>
          </w:tcPr>
          <w:p/>
        </w:tc>
        <w:tc>
          <w:tcPr>
            <w:tcW w:w="1120" w:type="dxa"/>
            <w:vMerge/>
            <w:tcBorders>
              <w:top w:val="single" w:sz="4" w:space="0" w:color="000000"/>
              <w:left w:val="single" w:sz="4" w:space="0" w:color="000000"/>
              <w:bottom w:val="single" w:sz="4" w:space="0" w:color="000000"/>
              <w:right w:val="single" w:sz="4" w:space="0" w:color="000000"/>
            </w:tcBorders>
            <w:noWrap/>
          </w:tcPr>
          <w:p/>
        </w:tc>
        <w:tc>
          <w:tcPr>
            <w:tcW w:w="960" w:type="dxa"/>
            <w:vMerge/>
            <w:tcBorders>
              <w:top w:val="single" w:sz="4" w:space="0" w:color="000000"/>
              <w:left w:val="single" w:sz="4" w:space="0" w:color="000000"/>
              <w:bottom w:val="single" w:sz="4" w:space="0" w:color="000000"/>
              <w:right w:val="single" w:sz="4" w:space="0" w:color="000000"/>
            </w:tcBorders>
            <w:noWrap/>
          </w:tcPr>
          <w:p/>
        </w:tc>
      </w:tr>
      <w:tr>
        <w:trPr>
          <w:trHeight w:val="290"/>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92"/>
              <w:ind w:leftChars="100" w:left="210"/>
              <w:rPr>
                <w:rFonts w:ascii="Times New Roman" w:eastAsia="宋体" w:cs="Times New Roman" w:hAnsi="Times New Roman"/>
                <w:b/>
                <w:bCs/>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93"/>
              <w:ind w:leftChars="100" w:left="210" w:firstLineChars="100" w:firstLine="160"/>
              <w:rPr>
                <w:rFonts w:ascii="Times New Roman" w:eastAsia="宋体" w:cs="Times New Roman" w:hAnsi="Times New Roman"/>
                <w:b/>
                <w:bCs/>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494"/>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495"/>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496"/>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497"/>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498"/>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499"/>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00"/>
              <w:keepNext w:val="0"/>
              <w:keepLines w:val="0"/>
              <w:widowControl/>
              <w:suppressLineNumbers w:val="0"/>
              <w:jc w:val="right"/>
              <w:textAlignment w:val="center"/>
              <w:rPr>
                <w:b/>
                <w:bCs/>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01"/>
              <w:keepNext w:val="0"/>
              <w:keepLines w:val="0"/>
              <w:widowControl/>
              <w:suppressLineNumbers w:val="0"/>
              <w:jc w:val="right"/>
              <w:textAlignment w:val="center"/>
              <w:rPr>
                <w:b/>
                <w:bCs/>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02"/>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03"/>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r>
      <w:tr>
        <w:trPr>
          <w:trHeight w:val="290"/>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04"/>
              <w:ind w:leftChars="100" w:left="210"/>
              <w:rPr>
                <w:rFonts w:ascii="Times New Roman" w:eastAsia="宋体" w:cs="Times New Roman" w:hAnsi="Times New Roman"/>
                <w:b/>
                <w:bCs/>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05"/>
              <w:ind w:leftChars="100" w:left="210" w:firstLineChars="200" w:firstLine="320"/>
              <w:rPr>
                <w:rFonts w:ascii="Times New Roman" w:eastAsia="宋体" w:cs="Times New Roman" w:hAnsi="Times New Roman"/>
                <w:b/>
                <w:bCs/>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06"/>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07"/>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08"/>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09"/>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10"/>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11"/>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12"/>
              <w:keepNext w:val="0"/>
              <w:keepLines w:val="0"/>
              <w:widowControl/>
              <w:suppressLineNumbers w:val="0"/>
              <w:jc w:val="right"/>
              <w:textAlignment w:val="center"/>
              <w:rPr>
                <w:b/>
                <w:bCs/>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13"/>
              <w:keepNext w:val="0"/>
              <w:keepLines w:val="0"/>
              <w:widowControl/>
              <w:suppressLineNumbers w:val="0"/>
              <w:jc w:val="right"/>
              <w:textAlignment w:val="center"/>
              <w:rPr>
                <w:b/>
                <w:bCs/>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14"/>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15"/>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r>
      <w:tr>
        <w:trPr>
          <w:trHeight w:val="290"/>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16"/>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17"/>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1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1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2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2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22"/>
              <w:jc w:val="right"/>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2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24"/>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25"/>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2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27"/>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28"/>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29"/>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3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3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3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33"/>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3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3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36"/>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37"/>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3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3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40"/>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41"/>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4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4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4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4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46"/>
              <w:jc w:val="right"/>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47"/>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48"/>
              <w:keepNext w:val="0"/>
              <w:keepLines w:val="0"/>
              <w:widowControl/>
              <w:suppressLineNumbers w:val="0"/>
              <w:jc w:val="right"/>
              <w:textAlignment w:val="center"/>
              <w:rPr>
                <w:color w:val="000000"/>
                <w:sz w:val="16"/>
                <w:szCs w:val="16"/>
                <w:lang w:val="en-US"/>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49"/>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5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5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52"/>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53"/>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5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5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5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57"/>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5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5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60"/>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61"/>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6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6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64"/>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65"/>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6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67"/>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6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69"/>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7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7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72"/>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73"/>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7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7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76"/>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77"/>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7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7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8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81"/>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8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8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84"/>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85"/>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8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87"/>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88"/>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89"/>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9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9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9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93"/>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9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59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96"/>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97"/>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9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59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90"/>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00"/>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01"/>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0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0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0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05"/>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0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07"/>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08"/>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09"/>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1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1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12"/>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13"/>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1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1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1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17"/>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1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1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20"/>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21"/>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2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2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90"/>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24"/>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25"/>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2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27"/>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2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29"/>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3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3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32"/>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33"/>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3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3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36"/>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37"/>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3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3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4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4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42"/>
              <w:jc w:val="right"/>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4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44"/>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45"/>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4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47"/>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48"/>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49"/>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5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5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5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53"/>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5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5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56"/>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57"/>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5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5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60"/>
              <w:ind w:leftChars="100" w:left="210"/>
              <w:rPr>
                <w:rFonts w:ascii="Times New Roman" w:eastAsia="宋体" w:cs="Times New Roman" w:hAnsi="Times New Roman"/>
                <w:b/>
                <w:bCs/>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61"/>
              <w:ind w:leftChars="100" w:left="210" w:firstLineChars="200" w:firstLine="320"/>
              <w:rPr>
                <w:rFonts w:ascii="Times New Roman" w:eastAsia="宋体" w:cs="Times New Roman" w:hAnsi="Times New Roman"/>
                <w:b/>
                <w:bCs/>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62"/>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63"/>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64"/>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65"/>
              <w:jc w:val="right"/>
              <w:rPr>
                <w:rFonts w:ascii="Times New Roman" w:eastAsia="宋体" w:cs="Times New Roman" w:hAnsi="Times New Roman"/>
                <w:b/>
                <w:bCs/>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66"/>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67"/>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68"/>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69"/>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70"/>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71"/>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72"/>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73"/>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7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7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7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77"/>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7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7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8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8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8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8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84"/>
              <w:ind w:leftChars="100" w:left="210"/>
              <w:rPr>
                <w:rFonts w:ascii="Times New Roman" w:eastAsia="宋体" w:cs="Times New Roman" w:hAnsi="Times New Roman"/>
                <w:b/>
                <w:bCs/>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85"/>
              <w:ind w:leftChars="100" w:left="210" w:firstLineChars="100" w:firstLine="160"/>
              <w:rPr>
                <w:rFonts w:ascii="Times New Roman" w:eastAsia="宋体" w:cs="Times New Roman" w:hAnsi="Times New Roman"/>
                <w:b/>
                <w:bCs/>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86"/>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87"/>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88"/>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89"/>
              <w:jc w:val="right"/>
              <w:rPr>
                <w:rFonts w:ascii="Times New Roman" w:eastAsia="宋体" w:cs="Times New Roman" w:hAnsi="Times New Roman"/>
                <w:b/>
                <w:bCs/>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90"/>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91"/>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92"/>
              <w:keepNext w:val="0"/>
              <w:keepLines w:val="0"/>
              <w:widowControl/>
              <w:suppressLineNumbers w:val="0"/>
              <w:jc w:val="right"/>
              <w:textAlignment w:val="center"/>
              <w:rPr>
                <w:b/>
                <w:bCs/>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93"/>
              <w:keepNext w:val="0"/>
              <w:keepLines w:val="0"/>
              <w:widowControl/>
              <w:suppressLineNumbers w:val="0"/>
              <w:jc w:val="right"/>
              <w:textAlignment w:val="center"/>
              <w:rPr>
                <w:b/>
                <w:bCs/>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94"/>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95"/>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96"/>
              <w:ind w:leftChars="100" w:left="210"/>
              <w:rPr>
                <w:rFonts w:ascii="Times New Roman" w:eastAsia="宋体" w:cs="Times New Roman" w:hAnsi="Times New Roman"/>
                <w:b/>
                <w:bCs/>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697"/>
              <w:ind w:leftChars="100" w:left="210" w:firstLineChars="200" w:firstLine="320"/>
              <w:rPr>
                <w:rFonts w:ascii="Times New Roman" w:eastAsia="宋体" w:cs="Times New Roman" w:hAnsi="Times New Roman"/>
                <w:b/>
                <w:bCs/>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9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69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0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01"/>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0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0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0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0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0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07"/>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89"/>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08"/>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09"/>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1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1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1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13"/>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1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15"/>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16"/>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17"/>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18"/>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19"/>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90"/>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20"/>
              <w:ind w:leftChars="100" w:left="210"/>
              <w:rPr>
                <w:rFonts w:ascii="Times New Roman" w:eastAsia="宋体" w:cs="Times New Roman" w:hAnsi="Times New Roman"/>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21"/>
              <w:ind w:leftChars="100" w:left="210"/>
              <w:rPr>
                <w:rFonts w:ascii="Times New Roman" w:eastAsia="宋体" w:cs="Times New Roman" w:hAnsi="Times New Roman"/>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22"/>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23"/>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24"/>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25"/>
              <w:jc w:val="right"/>
              <w:rPr>
                <w:rFonts w:ascii="Times New Roman" w:eastAsia="宋体" w:cs="Times New Roman" w:hAnsi="Times New Roman"/>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26"/>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27"/>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28"/>
              <w:keepNext w:val="0"/>
              <w:keepLines w:val="0"/>
              <w:widowControl/>
              <w:suppressLineNumbers w:val="0"/>
              <w:jc w:val="right"/>
              <w:textAlignment w:val="center"/>
              <w:rPr>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29"/>
              <w:keepNext w:val="0"/>
              <w:keepLines w:val="0"/>
              <w:widowControl/>
              <w:suppressLineNumbers w:val="0"/>
              <w:jc w:val="right"/>
              <w:textAlignment w:val="center"/>
              <w:rPr>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30"/>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31"/>
              <w:keepNext w:val="0"/>
              <w:keepLines w:val="0"/>
              <w:widowControl/>
              <w:suppressLineNumbers w:val="0"/>
              <w:jc w:val="right"/>
              <w:textAlignment w:val="center"/>
              <w:rPr>
                <w:rFonts w:ascii="Times New Roman" w:eastAsia="宋体" w:cs="Times New Roman" w:hAnsi="Times New Roman"/>
                <w:sz w:val="16"/>
                <w:szCs w:val="16"/>
                <w:lang w:bidi="ar-SA"/>
                <w:highlight w:val="auto"/>
              </w:rPr>
            </w:pPr>
          </w:p>
        </w:tc>
      </w:tr>
      <w:tr>
        <w:trPr>
          <w:trHeight w:val="290"/>
        </w:trPr>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32"/>
              <w:ind w:leftChars="100" w:left="210"/>
              <w:rPr>
                <w:rFonts w:ascii="Times New Roman" w:eastAsia="宋体" w:cs="Times New Roman" w:hAnsi="Times New Roman"/>
                <w:b/>
                <w:bCs/>
                <w:sz w:val="16"/>
                <w:szCs w:val="16"/>
                <w:lang w:bidi="ar-SA"/>
                <w:highlight w:val="auto"/>
              </w:rPr>
            </w:pPr>
          </w:p>
        </w:tc>
        <w:tc>
          <w:tcPr>
            <w:tcW w:w="24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33"/>
              <w:ind w:leftChars="100" w:left="210" w:firstLineChars="200" w:firstLine="320"/>
              <w:rPr>
                <w:rFonts w:ascii="Times New Roman" w:eastAsia="宋体" w:cs="Times New Roman" w:hAnsi="Times New Roman"/>
                <w:b/>
                <w:bCs/>
                <w:sz w:val="16"/>
                <w:szCs w:val="16"/>
                <w:lang w:bidi="ar-SA"/>
                <w:highlight w:val="auto"/>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34"/>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35"/>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36"/>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37"/>
              <w:jc w:val="right"/>
              <w:rPr>
                <w:rFonts w:ascii="Times New Roman" w:eastAsia="宋体" w:cs="Times New Roman" w:hAnsi="Times New Roman"/>
                <w:b/>
                <w:bCs/>
                <w:sz w:val="16"/>
                <w:szCs w:val="16"/>
                <w:lang w:bidi="ar-SA"/>
                <w:highlight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38"/>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739"/>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40"/>
              <w:keepNext w:val="0"/>
              <w:keepLines w:val="0"/>
              <w:widowControl/>
              <w:suppressLineNumbers w:val="0"/>
              <w:jc w:val="right"/>
              <w:textAlignment w:val="center"/>
              <w:rPr>
                <w:b/>
                <w:bCs/>
                <w:color w:val="000000"/>
                <w:sz w:val="16"/>
                <w:szCs w:val="16"/>
                <w:highlight w:val="auto"/>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41"/>
              <w:keepNext w:val="0"/>
              <w:keepLines w:val="0"/>
              <w:widowControl/>
              <w:suppressLineNumbers w:val="0"/>
              <w:jc w:val="right"/>
              <w:textAlignment w:val="center"/>
              <w:rPr>
                <w:b/>
                <w:bCs/>
                <w:color w:val="000000"/>
                <w:sz w:val="16"/>
                <w:szCs w:val="16"/>
                <w:highlight w:val="aut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42"/>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743"/>
              <w:keepNext w:val="0"/>
              <w:keepLines w:val="0"/>
              <w:widowControl/>
              <w:suppressLineNumbers w:val="0"/>
              <w:jc w:val="right"/>
              <w:textAlignment w:val="center"/>
              <w:rPr>
                <w:rFonts w:ascii="Times New Roman" w:eastAsia="宋体" w:cs="Times New Roman" w:hAnsi="Times New Roman"/>
                <w:b/>
                <w:bCs/>
                <w:sz w:val="16"/>
                <w:szCs w:val="16"/>
                <w:lang w:bidi="ar-SA"/>
                <w:highlight w:val="auto"/>
              </w:rPr>
            </w:pPr>
          </w:p>
        </w:tc>
      </w:tr>
    </w:tbl>
    <w:p>
      <w:pPr>
        <w:pStyle w:val="473"/>
        <w:rPr>
          <w:rFonts w:ascii="Times New Roman" w:eastAsia="宋体" w:hAnsi="Times New Roman"/>
          <w:highlight w:val="auto"/>
        </w:rPr>
      </w:pPr>
    </w:p>
    <w:p>
      <w:pPr>
        <w:pStyle w:val="473"/>
        <w:rPr>
          <w:rFonts w:ascii="Times New Roman" w:eastAsia="宋体" w:hAnsi="Times New Roman"/>
          <w:highlight w:val="auto"/>
        </w:rPr>
        <w:sectPr>
          <w:pgSz w:w="16840" w:h="11907"/>
          <w:pgMar w:top="737" w:right="879" w:bottom="567" w:left="885" w:header="0" w:footer="0" w:gutter="0"/>
          <w:docGrid w:linePitch="285" w:charSpace="0"/>
        </w:sectPr>
      </w:pPr>
    </w:p>
    <w:p>
      <w:pPr>
        <w:jc w:val="right"/>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6</w:t>
      </w:r>
    </w:p>
    <w:p>
      <w:pPr>
        <w:jc w:val="center"/>
        <w:rPr>
          <w:rFonts w:cs="Microsoft JhengHei" w:hint="eastAsia"/>
          <w:b/>
          <w:sz w:val="36"/>
          <w:szCs w:val="36"/>
          <w:lang w:bidi="ar-SA"/>
          <w:highlight w:val="auto"/>
        </w:rPr>
      </w:pPr>
      <w:r>
        <w:rPr>
          <w:rFonts w:cs="Microsoft JhengHei" w:hint="eastAsia"/>
          <w:b/>
          <w:snapToGrid w:val="0"/>
          <w:color w:val="000000"/>
          <w:sz w:val="36"/>
          <w:szCs w:val="36"/>
          <w:lang w:bidi="ar-SA"/>
          <w:highlight w:val="auto"/>
        </w:rPr>
        <w:t>一般公共预算基本支出表</w:t>
      </w:r>
    </w:p>
    <w:p>
      <w:pPr>
        <w:pStyle w:val="914"/>
        <w:spacing w:before="42" w:line="180" w:lineRule="auto"/>
        <w:ind w:firstLine="9712"/>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914"/>
        <w:spacing w:line="19" w:lineRule="auto"/>
        <w:rPr>
          <w:rFonts w:ascii="Times New Roman" w:eastAsia="宋体" w:hAnsi="Times New Roman"/>
          <w:sz w:val="2"/>
          <w:highlight w:val="auto"/>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noWrap/>
            <w:vAlign w:val="center"/>
          </w:tcPr>
          <w:p>
            <w:pPr>
              <w:pStyle w:val="914"/>
              <w:spacing w:before="43" w:line="180"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1"/>
                <w:sz w:val="20"/>
                <w:szCs w:val="20"/>
                <w:lang w:bidi="ar-SA"/>
                <w:highlight w:val="auto"/>
              </w:rPr>
              <w:t>部门预算支出经济分类科目</w:t>
            </w:r>
          </w:p>
        </w:tc>
        <w:tc>
          <w:tcPr>
            <w:tcW w:w="5403" w:type="dxa"/>
            <w:gridSpan w:val="3"/>
            <w:noWrap/>
            <w:vAlign w:val="center"/>
          </w:tcPr>
          <w:p>
            <w:pPr>
              <w:pStyle w:val="914"/>
              <w:spacing w:before="43" w:line="180"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5"/>
                <w:sz w:val="20"/>
                <w:szCs w:val="20"/>
                <w:lang w:bidi="ar-SA"/>
                <w:highlight w:val="auto"/>
              </w:rPr>
              <w:t>202</w:t>
            </w:r>
            <w:r>
              <w:rPr>
                <w:rFonts w:ascii="Times New Roman" w:eastAsia="宋体" w:cs="Microsoft JhengHei" w:hAnsi="Times New Roman"/>
                <w:spacing w:val="-5"/>
                <w:sz w:val="20"/>
                <w:szCs w:val="20"/>
                <w:lang w:val="en-US" w:eastAsia="zh-CN" w:bidi="ar-SA"/>
                <w:highlight w:val="auto"/>
              </w:rPr>
              <w:t>5</w:t>
            </w:r>
            <w:r>
              <w:rPr>
                <w:rFonts w:ascii="Times New Roman" w:eastAsia="宋体" w:cs="Microsoft JhengHei" w:hAnsi="Times New Roman" w:hint="eastAsia"/>
                <w:spacing w:val="-5"/>
                <w:sz w:val="20"/>
                <w:szCs w:val="20"/>
                <w:lang w:bidi="ar-SA"/>
                <w:highlight w:val="auto"/>
              </w:rPr>
              <w:t>年基本支出</w:t>
            </w:r>
          </w:p>
        </w:tc>
      </w:tr>
      <w:tr>
        <w:trPr>
          <w:trHeight w:val="357"/>
        </w:trPr>
        <w:tc>
          <w:tcPr>
            <w:tcW w:w="1252" w:type="dxa"/>
            <w:tcBorders>
              <w:left w:val="single" w:sz="4" w:space="0" w:color="000000"/>
              <w:right w:val="single" w:sz="4" w:space="0" w:color="000000"/>
            </w:tcBorders>
            <w:noWrap/>
            <w:vAlign w:val="center"/>
          </w:tcPr>
          <w:p>
            <w:pPr>
              <w:pStyle w:val="914"/>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科目编码</w:t>
            </w:r>
          </w:p>
        </w:tc>
        <w:tc>
          <w:tcPr>
            <w:tcW w:w="4151" w:type="dxa"/>
            <w:tcBorders>
              <w:left w:val="single" w:sz="4" w:space="0" w:color="000000"/>
              <w:right w:val="single" w:sz="4" w:space="0" w:color="000000"/>
            </w:tcBorders>
            <w:noWrap/>
            <w:vAlign w:val="center"/>
          </w:tcPr>
          <w:p>
            <w:pPr>
              <w:pStyle w:val="914"/>
              <w:spacing w:before="35" w:line="180"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科目名称</w:t>
            </w:r>
          </w:p>
        </w:tc>
        <w:tc>
          <w:tcPr>
            <w:tcW w:w="1799" w:type="dxa"/>
            <w:tcBorders>
              <w:left w:val="single" w:sz="4" w:space="0" w:color="000000"/>
              <w:right w:val="single" w:sz="4" w:space="0" w:color="000000"/>
            </w:tcBorders>
            <w:noWrap/>
            <w:vAlign w:val="center"/>
          </w:tcPr>
          <w:p>
            <w:pPr>
              <w:pStyle w:val="914"/>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合计</w:t>
            </w:r>
          </w:p>
        </w:tc>
        <w:tc>
          <w:tcPr>
            <w:tcW w:w="1799" w:type="dxa"/>
            <w:tcBorders>
              <w:left w:val="single" w:sz="4" w:space="0" w:color="000000"/>
              <w:right w:val="single" w:sz="4" w:space="0" w:color="000000"/>
            </w:tcBorders>
            <w:noWrap/>
            <w:vAlign w:val="center"/>
          </w:tcPr>
          <w:p>
            <w:pPr>
              <w:pStyle w:val="914"/>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人员经费</w:t>
            </w:r>
          </w:p>
        </w:tc>
        <w:tc>
          <w:tcPr>
            <w:tcW w:w="1805" w:type="dxa"/>
            <w:tcBorders>
              <w:left w:val="single" w:sz="4" w:space="0" w:color="000000"/>
              <w:right w:val="single" w:sz="4" w:space="0" w:color="000000"/>
            </w:tcBorders>
            <w:noWrap/>
            <w:vAlign w:val="center"/>
          </w:tcPr>
          <w:p>
            <w:pPr>
              <w:pStyle w:val="914"/>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1"/>
                <w:sz w:val="20"/>
                <w:szCs w:val="20"/>
                <w:lang w:bidi="ar-SA"/>
                <w:highlight w:val="auto"/>
              </w:rPr>
              <w:t>公用经费</w:t>
            </w:r>
          </w:p>
        </w:tc>
      </w:tr>
      <w:tr>
        <w:trPr>
          <w:trHeight w:val="289"/>
        </w:trPr>
        <w:tc>
          <w:tcPr>
            <w:tcW w:w="1252" w:type="dxa"/>
            <w:tcBorders>
              <w:left w:val="single" w:sz="4" w:space="0" w:color="000000"/>
              <w:right w:val="single" w:sz="4" w:space="0" w:color="000000"/>
            </w:tcBorders>
            <w:noWrap/>
            <w:vAlign w:val="center"/>
          </w:tcPr>
          <w:p>
            <w:pPr>
              <w:widowControl/>
              <w:jc w:val="center"/>
              <w:rPr>
                <w:rFonts w:ascii="Times New Roman" w:eastAsia="宋体" w:cs="Times New Roman" w:hAnsi="Times New Roman"/>
                <w:b/>
                <w:sz w:val="20"/>
                <w:szCs w:val="20"/>
                <w:lang w:bidi="ar-SA"/>
                <w:highlight w:val="auto"/>
              </w:rPr>
            </w:pPr>
          </w:p>
        </w:tc>
        <w:tc>
          <w:tcPr>
            <w:tcW w:w="4151" w:type="dxa"/>
            <w:tcBorders>
              <w:left w:val="single" w:sz="4" w:space="0" w:color="000000"/>
              <w:right w:val="single" w:sz="4" w:space="0" w:color="000000"/>
            </w:tcBorders>
            <w:noWrap/>
            <w:vAlign w:val="center"/>
          </w:tcPr>
          <w:p>
            <w:pPr>
              <w:widowControl/>
              <w:jc w:val="center"/>
              <w:rPr>
                <w:rFonts w:ascii="Times New Roman" w:eastAsia="宋体" w:cs="Times New Roman" w:hAnsi="Times New Roman"/>
                <w:b/>
                <w:sz w:val="20"/>
                <w:szCs w:val="20"/>
                <w:lang w:bidi="ar-SA"/>
                <w:highlight w:val="auto"/>
              </w:rPr>
            </w:pPr>
            <w:r>
              <w:rPr>
                <w:rFonts w:ascii="Times New Roman" w:cs="宋体" w:hAnsi="Times New Roman" w:hint="eastAsia"/>
                <w:b/>
                <w:bCs/>
                <w:kern w:val="0"/>
                <w:sz w:val="18"/>
                <w:szCs w:val="18"/>
              </w:rPr>
              <w:t>海关总署乌鲁木齐教育培训基地</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3000.00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b/>
                <w:sz w:val="20"/>
                <w:szCs w:val="20"/>
                <w:lang w:val="en-US" w:eastAsia="zh-CN" w:bidi="ar-SA"/>
                <w:highlight w:val="auto"/>
              </w:rPr>
            </w:pPr>
            <w:r>
              <w:rPr>
                <w:rFonts w:ascii="Times New Roman" w:eastAsia="宋体" w:cs="Times New Roman" w:hAnsi="Times New Roman"/>
                <w:b/>
                <w:sz w:val="20"/>
                <w:szCs w:val="20"/>
                <w:lang w:val="en-US" w:eastAsia="zh-CN" w:bidi="ar-SA"/>
                <w:highlight w:val="auto"/>
              </w:rPr>
              <w:t>1338.00</w:t>
            </w: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b/>
                <w:sz w:val="20"/>
                <w:szCs w:val="20"/>
                <w:lang w:val="en-US" w:eastAsia="zh-CN" w:bidi="ar-SA"/>
                <w:highlight w:val="auto"/>
              </w:rPr>
            </w:pPr>
            <w:r>
              <w:rPr>
                <w:rFonts w:ascii="Times New Roman" w:eastAsia="宋体" w:cs="Times New Roman" w:hAnsi="Times New Roman"/>
                <w:b/>
                <w:sz w:val="20"/>
                <w:szCs w:val="20"/>
                <w:lang w:val="en-US" w:eastAsia="zh-CN" w:bidi="ar-SA"/>
                <w:highlight w:val="auto"/>
              </w:rPr>
              <w:t>1662.00</w:t>
            </w: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b/>
                <w:bCs/>
                <w:kern w:val="0"/>
                <w:sz w:val="18"/>
                <w:szCs w:val="18"/>
              </w:rPr>
              <w:t>301</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b/>
                <w:bCs/>
                <w:kern w:val="0"/>
                <w:sz w:val="18"/>
                <w:szCs w:val="18"/>
              </w:rPr>
              <w:t>工资福利支出</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1338.00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1338.00</w:t>
            </w: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30101</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基本工资</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1050.00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1050.00</w:t>
            </w: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30102</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津贴补贴</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30103</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奖金</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30106</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伙食补助费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3"/>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30107</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绩效工资</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30108</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机关事业单位基本养老保险缴费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30109</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职业年金缴费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30110</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职工基本医疗保险缴费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288.00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288.00</w:t>
            </w: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30111</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公务员医疗补助缴费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30112</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其他社会保障缴费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30113</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住房公积金</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30114</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医疗费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2"/>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b/>
                <w:sz w:val="20"/>
                <w:szCs w:val="20"/>
                <w:lang w:bidi="ar-SA"/>
                <w:highlight w:val="auto"/>
              </w:rPr>
            </w:pPr>
            <w:r>
              <w:rPr>
                <w:rFonts w:ascii="Times New Roman" w:cs="宋体" w:hAnsi="Times New Roman" w:hint="eastAsia"/>
                <w:kern w:val="0"/>
                <w:sz w:val="18"/>
                <w:szCs w:val="18"/>
              </w:rPr>
              <w:t>30199</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b/>
                <w:sz w:val="20"/>
                <w:szCs w:val="20"/>
                <w:lang w:bidi="ar-SA"/>
                <w:highlight w:val="auto"/>
              </w:rPr>
            </w:pPr>
            <w:r>
              <w:rPr>
                <w:rFonts w:ascii="Times New Roman" w:cs="宋体" w:hAnsi="Times New Roman" w:hint="eastAsia"/>
                <w:kern w:val="0"/>
                <w:sz w:val="18"/>
                <w:szCs w:val="18"/>
              </w:rPr>
              <w:t>其他工资福利支出</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b/>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b/>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b/>
                <w:bCs/>
                <w:kern w:val="0"/>
                <w:sz w:val="18"/>
                <w:szCs w:val="18"/>
              </w:rPr>
              <w:t>302</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b/>
                <w:bCs/>
                <w:kern w:val="0"/>
                <w:sz w:val="18"/>
                <w:szCs w:val="18"/>
              </w:rPr>
              <w:t>商品和服务支出</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1654.90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1654.90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30201</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办公费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hint="eastAsia"/>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10.00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94"/>
              <w:jc w:val="right"/>
              <w:rPr>
                <w:rFonts w:ascii="Times New Roman" w:eastAsia="宋体" w:cs="Times New Roman" w:hAnsi="Times New Roman" w:hint="eastAsia"/>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10.00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30202</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印刷费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12.90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9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12.90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30203</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咨询费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96"/>
              <w:jc w:val="right"/>
              <w:rPr>
                <w:rFonts w:ascii="Times New Roman" w:eastAsia="宋体" w:cs="Times New Roman" w:hAnsi="Times New Roman"/>
                <w:sz w:val="20"/>
                <w:szCs w:val="20"/>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30204</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手续费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hint="eastAsia"/>
                <w:sz w:val="20"/>
                <w:szCs w:val="20"/>
                <w:lang w:val="en-US" w:eastAsia="zh-CN" w:bidi="ar-SA"/>
                <w:highlight w:val="auto"/>
              </w:rPr>
            </w:pPr>
            <w:r>
              <w:rPr>
                <w:rFonts w:ascii="Times New Roman" w:eastAsia="宋体" w:cs="Times New Roman" w:hAnsi="Times New Roman"/>
                <w:sz w:val="20"/>
                <w:szCs w:val="20"/>
                <w:lang w:val="en-US" w:eastAsia="zh-CN" w:bidi="ar-SA"/>
                <w:highlight w:val="auto"/>
              </w:rPr>
              <w:t>5.00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97"/>
              <w:jc w:val="right"/>
              <w:rPr>
                <w:rFonts w:ascii="Times New Roman" w:eastAsia="宋体" w:cs="Times New Roman" w:hAnsi="Times New Roman" w:hint="eastAsia"/>
                <w:sz w:val="20"/>
                <w:szCs w:val="20"/>
                <w:lang w:val="en-US" w:eastAsia="zh-CN" w:bidi="ar-SA"/>
                <w:highlight w:val="auto"/>
              </w:rPr>
            </w:pPr>
            <w:r>
              <w:rPr>
                <w:rFonts w:ascii="Times New Roman" w:eastAsia="宋体" w:cs="Times New Roman" w:hAnsi="Times New Roman"/>
                <w:sz w:val="20"/>
                <w:szCs w:val="20"/>
                <w:lang w:val="en-US" w:eastAsia="zh-CN" w:bidi="ar-SA"/>
                <w:highlight w:val="auto"/>
              </w:rPr>
              <w:t>5.00</w:t>
            </w: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30205</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水费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26.00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98"/>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26.00</w:t>
            </w:r>
          </w:p>
        </w:tc>
      </w:tr>
      <w:tr>
        <w:trPr>
          <w:trHeight w:val="292"/>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30206</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电费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70.00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99"/>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70.00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30207</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邮电费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0"/>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30208</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取暖费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55.00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1"/>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55.00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30209</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物业管理费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2"/>
              <w:jc w:val="right"/>
              <w:rPr>
                <w:rFonts w:ascii="Times New Roman" w:eastAsia="宋体" w:cs="Times New Roman" w:hAnsi="Times New Roman"/>
                <w:sz w:val="20"/>
                <w:szCs w:val="20"/>
                <w:lang w:val="en-US" w:eastAsia="zh-CN"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30211</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差旅费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5.00</w:t>
            </w:r>
          </w:p>
        </w:tc>
        <w:tc>
          <w:tcPr>
            <w:tcW w:w="1799" w:type="dxa"/>
            <w:tcBorders>
              <w:left w:val="single" w:sz="4" w:space="0" w:color="000000"/>
              <w:right w:val="single" w:sz="4" w:space="0" w:color="000000"/>
            </w:tcBorders>
            <w:noWrap/>
            <w:vAlign w:val="center"/>
          </w:tcPr>
          <w:p>
            <w:pPr>
              <w:pStyle w:val="914"/>
              <w:ind w:leftChars="100" w:left="210"/>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3"/>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5.00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30212</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因公出国（境）费用</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4"/>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30213</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维修（护）费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160.00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5"/>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160.00</w:t>
            </w: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30214</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租赁费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6"/>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30215</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会议费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7"/>
              <w:jc w:val="right"/>
              <w:rPr>
                <w:rFonts w:ascii="Times New Roman" w:eastAsia="宋体" w:cs="Times New Roman" w:hAnsi="Times New Roman"/>
                <w:sz w:val="20"/>
                <w:szCs w:val="20"/>
                <w:lang w:bidi="ar-SA"/>
                <w:highlight w:val="auto"/>
              </w:rPr>
            </w:pPr>
          </w:p>
        </w:tc>
      </w:tr>
      <w:tr>
        <w:trPr>
          <w:trHeight w:val="292"/>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30216</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培训费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60.00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8"/>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60.00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30217</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公务接待费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09"/>
              <w:jc w:val="right"/>
              <w:rPr>
                <w:rFonts w:ascii="Times New Roman" w:eastAsia="宋体" w:cs="Times New Roman" w:hAnsi="Times New Roman"/>
                <w:sz w:val="20"/>
                <w:szCs w:val="20"/>
                <w:lang w:bidi="ar-SA"/>
                <w:highlight w:val="auto"/>
              </w:rPr>
            </w:pPr>
          </w:p>
        </w:tc>
      </w:tr>
      <w:tr>
        <w:trPr>
          <w:trHeight w:val="290"/>
        </w:trPr>
        <w:tc>
          <w:tcPr>
            <w:tcW w:w="5403" w:type="dxa"/>
            <w:gridSpan w:val="2"/>
            <w:tcBorders>
              <w:left w:val="single" w:sz="4" w:space="0" w:color="000000"/>
              <w:right w:val="single" w:sz="4" w:space="0" w:color="000000"/>
            </w:tcBorders>
            <w:noWrap/>
            <w:vAlign w:val="center"/>
          </w:tcPr>
          <w:p>
            <w:pPr>
              <w:widowControl/>
              <w:jc w:val="center"/>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部门预算支出经济分类科目</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10"/>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center"/>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科目代码</w:t>
            </w:r>
          </w:p>
        </w:tc>
        <w:tc>
          <w:tcPr>
            <w:tcW w:w="4151" w:type="dxa"/>
            <w:tcBorders>
              <w:left w:val="single" w:sz="4" w:space="0" w:color="000000"/>
              <w:right w:val="single" w:sz="4" w:space="0" w:color="000000"/>
            </w:tcBorders>
            <w:noWrap/>
            <w:vAlign w:val="center"/>
          </w:tcPr>
          <w:p>
            <w:pPr>
              <w:widowControl/>
              <w:jc w:val="center"/>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科目名称</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11"/>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30218</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专用材料费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1016.00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12"/>
              <w:jc w:val="right"/>
              <w:rPr>
                <w:rFonts w:ascii="Times New Roman" w:eastAsia="宋体" w:cs="Times New Roman" w:hAnsi="Times New Roman"/>
                <w:sz w:val="20"/>
                <w:szCs w:val="20"/>
                <w:lang w:val="en-US" w:eastAsia="zh-CN" w:bidi="ar-SA"/>
                <w:highlight w:val="auto"/>
              </w:rPr>
            </w:pPr>
            <w:r>
              <w:rPr>
                <w:rFonts w:ascii="Times New Roman" w:eastAsia="宋体" w:cs="Times New Roman" w:hAnsi="Times New Roman"/>
                <w:sz w:val="20"/>
                <w:szCs w:val="20"/>
                <w:lang w:val="en-US" w:eastAsia="zh-CN" w:bidi="ar-SA"/>
                <w:highlight w:val="auto"/>
              </w:rPr>
              <w:t>1016.00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30224</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被装购置费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13"/>
              <w:jc w:val="right"/>
              <w:rPr>
                <w:rFonts w:ascii="Times New Roman" w:eastAsia="宋体" w:cs="Times New Roman" w:hAnsi="Times New Roman"/>
                <w:sz w:val="20"/>
                <w:szCs w:val="20"/>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30225</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专用燃料费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54.00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101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54.00</w:t>
            </w: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30226</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劳务费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z w:val="20"/>
                <w:szCs w:val="20"/>
                <w:lang w:bidi="ar-SA"/>
                <w:highlight w:val="auto"/>
              </w:rPr>
            </w:pPr>
          </w:p>
        </w:tc>
      </w:tr>
      <w:tr>
        <w:trPr>
          <w:trHeight w:val="292"/>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30227</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sz w:val="20"/>
                <w:szCs w:val="20"/>
                <w:lang w:bidi="ar-SA"/>
                <w:highlight w:val="auto"/>
              </w:rPr>
            </w:pPr>
            <w:r>
              <w:rPr>
                <w:rFonts w:ascii="Times New Roman" w:cs="宋体" w:hAnsi="Times New Roman" w:hint="eastAsia"/>
                <w:kern w:val="0"/>
                <w:sz w:val="18"/>
                <w:szCs w:val="18"/>
              </w:rPr>
              <w:t>委托业务费</w:t>
            </w: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napToGrid w:val="0"/>
                <w:color w:val="000000"/>
                <w:kern w:val="0"/>
                <w:sz w:val="20"/>
                <w:szCs w:val="20"/>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hint="eastAsia"/>
                <w:snapToGrid w:val="0"/>
                <w:color w:val="000000"/>
                <w:kern w:val="0"/>
                <w:sz w:val="20"/>
                <w:szCs w:val="20"/>
                <w:lang w:val="en-US" w:eastAsia="zh-CN" w:bidi="ar-SA"/>
                <w:highlight w:val="auto"/>
              </w:rPr>
            </w:pPr>
          </w:p>
        </w:tc>
        <w:tc>
          <w:tcPr>
            <w:tcW w:w="1805"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0"/>
                <w:szCs w:val="20"/>
                <w:lang w:val="en-US" w:eastAsia="zh-CN" w:bidi="ar-SA"/>
                <w:highlight w:val="auto"/>
              </w:rPr>
            </w:pPr>
            <w:r>
              <w:rPr>
                <w:rFonts w:cs="Times New Roman" w:hint="eastAsia"/>
                <w:sz w:val="20"/>
                <w:szCs w:val="20"/>
                <w:lang w:val="en-US" w:eastAsia="zh-CN" w:bidi="ar-SA"/>
                <w:highlight w:val="auto"/>
              </w:rPr>
              <w:t>20</w:t>
            </w:r>
          </w:p>
        </w:tc>
      </w:tr>
    </w:tbl>
    <w:p>
      <w:pPr>
        <w:pStyle w:val="914"/>
        <w:rPr>
          <w:rFonts w:ascii="Times New Roman" w:eastAsia="宋体" w:hAnsi="Times New Roman"/>
          <w:highlight w:val="auto"/>
        </w:rPr>
      </w:pPr>
    </w:p>
    <w:p>
      <w:pPr>
        <w:pStyle w:val="914"/>
        <w:rPr>
          <w:rFonts w:ascii="Times New Roman" w:eastAsia="宋体" w:hAnsi="Times New Roman"/>
          <w:highlight w:val="auto"/>
        </w:rPr>
        <w:sectPr>
          <w:pgSz w:w="11907" w:h="16841"/>
          <w:pgMar w:top="1427" w:right="638" w:bottom="0" w:left="451" w:header="0" w:footer="0" w:gutter="0"/>
          <w:docGrid w:linePitch="285" w:charSpace="0"/>
        </w:sectPr>
      </w:pPr>
    </w:p>
    <w:p>
      <w:pPr>
        <w:pStyle w:val="914"/>
        <w:spacing w:line="89" w:lineRule="auto"/>
        <w:rPr>
          <w:rFonts w:ascii="Times New Roman" w:eastAsia="宋体" w:hAnsi="Times New Roman"/>
          <w:sz w:val="2"/>
          <w:highlight w:val="auto"/>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noWrap/>
            <w:vAlign w:val="center"/>
          </w:tcPr>
          <w:p>
            <w:pPr>
              <w:pStyle w:val="914"/>
              <w:spacing w:before="43" w:line="180"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1"/>
                <w:sz w:val="20"/>
                <w:szCs w:val="20"/>
                <w:lang w:bidi="ar-SA"/>
                <w:highlight w:val="auto"/>
              </w:rPr>
              <w:t>部门预算支出经济分类科目</w:t>
            </w:r>
          </w:p>
        </w:tc>
        <w:tc>
          <w:tcPr>
            <w:tcW w:w="5403" w:type="dxa"/>
            <w:gridSpan w:val="3"/>
            <w:noWrap/>
            <w:vAlign w:val="center"/>
          </w:tcPr>
          <w:p>
            <w:pPr>
              <w:pStyle w:val="914"/>
              <w:spacing w:before="43" w:line="180"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5"/>
                <w:sz w:val="20"/>
                <w:szCs w:val="20"/>
                <w:lang w:bidi="ar-SA"/>
                <w:highlight w:val="auto"/>
              </w:rPr>
              <w:t>202</w:t>
            </w:r>
            <w:r>
              <w:rPr>
                <w:rFonts w:ascii="Times New Roman" w:eastAsia="宋体" w:cs="Microsoft JhengHei" w:hAnsi="Times New Roman"/>
                <w:spacing w:val="-5"/>
                <w:sz w:val="20"/>
                <w:szCs w:val="20"/>
                <w:lang w:val="en-US" w:eastAsia="zh-CN" w:bidi="ar-SA"/>
                <w:highlight w:val="auto"/>
              </w:rPr>
              <w:t>5</w:t>
            </w:r>
            <w:r>
              <w:rPr>
                <w:rFonts w:ascii="Times New Roman" w:eastAsia="宋体" w:cs="Microsoft JhengHei" w:hAnsi="Times New Roman" w:hint="eastAsia"/>
                <w:spacing w:val="-5"/>
                <w:sz w:val="20"/>
                <w:szCs w:val="20"/>
                <w:lang w:bidi="ar-SA"/>
                <w:highlight w:val="auto"/>
              </w:rPr>
              <w:t>年基本支出</w:t>
            </w:r>
          </w:p>
        </w:tc>
      </w:tr>
      <w:tr>
        <w:trPr>
          <w:trHeight w:val="357"/>
        </w:trPr>
        <w:tc>
          <w:tcPr>
            <w:tcW w:w="1252" w:type="dxa"/>
            <w:tcBorders>
              <w:left w:val="single" w:sz="4" w:space="0" w:color="000000"/>
              <w:right w:val="single" w:sz="4" w:space="0" w:color="000000"/>
            </w:tcBorders>
            <w:noWrap/>
            <w:vAlign w:val="center"/>
          </w:tcPr>
          <w:p>
            <w:pPr>
              <w:pStyle w:val="914"/>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2"/>
                <w:sz w:val="20"/>
                <w:szCs w:val="20"/>
                <w:lang w:bidi="ar-SA"/>
                <w:highlight w:val="auto"/>
              </w:rPr>
              <w:t>科目编码</w:t>
            </w:r>
          </w:p>
        </w:tc>
        <w:tc>
          <w:tcPr>
            <w:tcW w:w="4151" w:type="dxa"/>
            <w:tcBorders>
              <w:left w:val="single" w:sz="4" w:space="0" w:color="000000"/>
              <w:right w:val="single" w:sz="4" w:space="0" w:color="000000"/>
            </w:tcBorders>
            <w:noWrap/>
            <w:vAlign w:val="center"/>
          </w:tcPr>
          <w:p>
            <w:pPr>
              <w:pStyle w:val="914"/>
              <w:spacing w:before="35" w:line="180"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2"/>
                <w:sz w:val="20"/>
                <w:szCs w:val="20"/>
                <w:lang w:bidi="ar-SA"/>
                <w:highlight w:val="auto"/>
              </w:rPr>
              <w:t>科目名称</w:t>
            </w:r>
          </w:p>
        </w:tc>
        <w:tc>
          <w:tcPr>
            <w:tcW w:w="1799" w:type="dxa"/>
            <w:tcBorders>
              <w:left w:val="single" w:sz="4" w:space="0" w:color="000000"/>
              <w:right w:val="single" w:sz="4" w:space="0" w:color="000000"/>
            </w:tcBorders>
            <w:noWrap/>
            <w:vAlign w:val="center"/>
          </w:tcPr>
          <w:p>
            <w:pPr>
              <w:pStyle w:val="914"/>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3"/>
                <w:sz w:val="20"/>
                <w:szCs w:val="20"/>
                <w:lang w:bidi="ar-SA"/>
                <w:highlight w:val="auto"/>
              </w:rPr>
              <w:t>合计</w:t>
            </w:r>
          </w:p>
        </w:tc>
        <w:tc>
          <w:tcPr>
            <w:tcW w:w="1799" w:type="dxa"/>
            <w:tcBorders>
              <w:left w:val="single" w:sz="4" w:space="0" w:color="000000"/>
              <w:right w:val="single" w:sz="4" w:space="0" w:color="000000"/>
            </w:tcBorders>
            <w:noWrap/>
            <w:vAlign w:val="center"/>
          </w:tcPr>
          <w:p>
            <w:pPr>
              <w:pStyle w:val="914"/>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3"/>
                <w:sz w:val="20"/>
                <w:szCs w:val="20"/>
                <w:lang w:bidi="ar-SA"/>
                <w:highlight w:val="auto"/>
              </w:rPr>
              <w:t>人员经费</w:t>
            </w:r>
          </w:p>
        </w:tc>
        <w:tc>
          <w:tcPr>
            <w:tcW w:w="1805" w:type="dxa"/>
            <w:tcBorders>
              <w:left w:val="single" w:sz="4" w:space="0" w:color="000000"/>
              <w:right w:val="single" w:sz="4" w:space="0" w:color="000000"/>
            </w:tcBorders>
            <w:noWrap/>
            <w:vAlign w:val="center"/>
          </w:tcPr>
          <w:p>
            <w:pPr>
              <w:pStyle w:val="914"/>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1"/>
                <w:sz w:val="20"/>
                <w:szCs w:val="20"/>
                <w:lang w:bidi="ar-SA"/>
                <w:highlight w:val="auto"/>
              </w:rPr>
              <w:t>公用经费</w:t>
            </w: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30228</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工会经费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30229</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福利费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80.00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89"/>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80.00</w:t>
            </w: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30231</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公务用车运行维护费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15.00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90"/>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15.00</w:t>
            </w: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b/>
                <w:lang w:bidi="ar-SA"/>
                <w:highlight w:val="auto"/>
              </w:rPr>
            </w:pPr>
            <w:r>
              <w:rPr>
                <w:rFonts w:ascii="Times New Roman" w:cs="宋体" w:hAnsi="Times New Roman" w:hint="eastAsia"/>
                <w:kern w:val="0"/>
                <w:sz w:val="18"/>
                <w:szCs w:val="18"/>
              </w:rPr>
              <w:t>30239</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b/>
                <w:lang w:bidi="ar-SA"/>
                <w:highlight w:val="auto"/>
              </w:rPr>
            </w:pPr>
            <w:r>
              <w:rPr>
                <w:rFonts w:ascii="Times New Roman" w:cs="宋体" w:hAnsi="Times New Roman" w:hint="eastAsia"/>
                <w:kern w:val="0"/>
                <w:sz w:val="18"/>
                <w:szCs w:val="18"/>
              </w:rPr>
              <w:t>其他交通费用</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b/>
                <w:lang w:bidi="ar-SA"/>
                <w:highlight w:val="auto"/>
              </w:rPr>
            </w:pPr>
          </w:p>
        </w:tc>
        <w:tc>
          <w:tcPr>
            <w:tcW w:w="1805" w:type="dxa"/>
            <w:tcBorders>
              <w:left w:val="single" w:sz="4" w:space="0" w:color="000000"/>
              <w:right w:val="single" w:sz="4" w:space="0" w:color="000000"/>
            </w:tcBorders>
            <w:noWrap/>
            <w:vAlign w:val="center"/>
          </w:tcPr>
          <w:p>
            <w:pPr>
              <w:pStyle w:val="991"/>
              <w:jc w:val="right"/>
              <w:rPr>
                <w:rFonts w:ascii="Times New Roman" w:eastAsia="宋体" w:cs="Times New Roman" w:hAnsi="Times New Roman"/>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30240</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税金及附加费用</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val="en-US" w:eastAsia="zh-CN" w:bidi="ar-SA"/>
                <w:highlight w:val="auto"/>
              </w:rPr>
            </w:pPr>
            <w:r>
              <w:rPr>
                <w:rFonts w:ascii="Times New Roman" w:eastAsia="宋体" w:cs="Times New Roman" w:hAnsi="Times New Roman"/>
                <w:lang w:val="en-US" w:eastAsia="zh-CN" w:bidi="ar-SA"/>
                <w:highlight w:val="auto"/>
              </w:rPr>
              <w:t>40.00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92"/>
              <w:jc w:val="right"/>
              <w:rPr>
                <w:rFonts w:ascii="Times New Roman" w:eastAsia="宋体" w:cs="Times New Roman" w:hAnsi="Times New Roman"/>
                <w:lang w:val="en-US" w:eastAsia="zh-CN" w:bidi="ar-SA"/>
                <w:highlight w:val="auto"/>
              </w:rPr>
            </w:pPr>
            <w:r>
              <w:rPr>
                <w:rFonts w:ascii="Times New Roman" w:eastAsia="宋体" w:cs="Times New Roman" w:hAnsi="Times New Roman"/>
                <w:lang w:val="en-US" w:eastAsia="zh-CN" w:bidi="ar-SA"/>
                <w:highlight w:val="auto"/>
              </w:rPr>
              <w:t>40.00</w:t>
            </w: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30299</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其他商品和服务支出</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val="en-US" w:eastAsia="zh-CN" w:bidi="ar-SA"/>
                <w:highlight w:val="auto"/>
              </w:rPr>
            </w:pPr>
            <w:r>
              <w:rPr>
                <w:rFonts w:ascii="Times New Roman" w:eastAsia="宋体" w:cs="Times New Roman" w:hAnsi="Times New Roman"/>
                <w:lang w:val="en-US" w:eastAsia="zh-CN" w:bidi="ar-SA"/>
                <w:highlight w:val="auto"/>
              </w:rPr>
              <w:t>36.00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93"/>
              <w:jc w:val="right"/>
              <w:rPr>
                <w:rFonts w:ascii="Times New Roman" w:eastAsia="宋体" w:cs="Times New Roman" w:hAnsi="Times New Roman"/>
                <w:lang w:val="en-US" w:eastAsia="zh-CN" w:bidi="ar-SA"/>
                <w:highlight w:val="auto"/>
              </w:rPr>
            </w:pPr>
            <w:r>
              <w:rPr>
                <w:rFonts w:ascii="Times New Roman" w:eastAsia="宋体" w:cs="Times New Roman" w:hAnsi="Times New Roman"/>
                <w:lang w:val="en-US" w:eastAsia="zh-CN" w:bidi="ar-SA"/>
                <w:highlight w:val="auto"/>
              </w:rPr>
              <w:t>36.00</w:t>
            </w:r>
          </w:p>
        </w:tc>
      </w:tr>
      <w:tr>
        <w:trPr>
          <w:trHeight w:val="292"/>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b/>
                <w:bCs/>
                <w:kern w:val="0"/>
                <w:sz w:val="18"/>
                <w:szCs w:val="18"/>
              </w:rPr>
              <w:t>303</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b/>
                <w:bCs/>
                <w:kern w:val="0"/>
                <w:sz w:val="18"/>
                <w:szCs w:val="18"/>
              </w:rPr>
              <w:t>对个人和家庭的补助</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30301</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离休费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val="en-US" w:eastAsia="zh-CN" w:bidi="ar-SA"/>
                <w:highlight w:val="auto"/>
              </w:rPr>
            </w:pPr>
            <w:r>
              <w:rPr>
                <w:rFonts w:ascii="Times New Roman" w:cs="宋体" w:hAnsi="Times New Roman" w:hint="eastAsia"/>
                <w:kern w:val="0"/>
                <w:sz w:val="18"/>
                <w:szCs w:val="18"/>
              </w:rPr>
              <w:t>30302</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hint="eastAsia"/>
                <w:lang w:eastAsia="zh-CN" w:bidi="ar-SA"/>
                <w:highlight w:val="auto"/>
              </w:rPr>
            </w:pPr>
            <w:r>
              <w:rPr>
                <w:rFonts w:ascii="Times New Roman" w:cs="宋体" w:hAnsi="Times New Roman" w:hint="eastAsia"/>
                <w:kern w:val="0"/>
                <w:sz w:val="18"/>
                <w:szCs w:val="18"/>
              </w:rPr>
              <w:t>退休费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hint="eastAsia"/>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30303</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退职（役）费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30304</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抚恤金</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30305</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生活补助</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89"/>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30307</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医疗费补助</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b/>
                <w:lang w:bidi="ar-SA"/>
                <w:highlight w:val="auto"/>
              </w:rPr>
            </w:pPr>
            <w:r>
              <w:rPr>
                <w:rFonts w:ascii="Times New Roman" w:cs="宋体" w:hAnsi="Times New Roman" w:hint="eastAsia"/>
                <w:kern w:val="0"/>
                <w:sz w:val="18"/>
                <w:szCs w:val="18"/>
              </w:rPr>
              <w:t>30308</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b/>
                <w:lang w:bidi="ar-SA"/>
                <w:highlight w:val="auto"/>
              </w:rPr>
            </w:pPr>
            <w:r>
              <w:rPr>
                <w:rFonts w:ascii="Times New Roman" w:cs="宋体" w:hAnsi="Times New Roman" w:hint="eastAsia"/>
                <w:kern w:val="0"/>
                <w:sz w:val="18"/>
                <w:szCs w:val="18"/>
              </w:rPr>
              <w:t>助学金</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b/>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b/>
                <w:lang w:bidi="ar-SA"/>
                <w:highlight w:val="auto"/>
              </w:rPr>
            </w:pPr>
          </w:p>
        </w:tc>
      </w:tr>
      <w:tr>
        <w:trPr>
          <w:trHeight w:val="292"/>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30309</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奖励金</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30311</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代缴社会保险费</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30399</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其他对个人和家庭的补助</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b/>
                <w:bCs/>
                <w:kern w:val="0"/>
                <w:sz w:val="18"/>
                <w:szCs w:val="18"/>
              </w:rPr>
              <w:t>310</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b/>
                <w:bCs/>
                <w:kern w:val="0"/>
                <w:sz w:val="18"/>
                <w:szCs w:val="18"/>
              </w:rPr>
              <w:t>资本性支出</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r>
              <w:rPr>
                <w:rFonts w:ascii="Times New Roman" w:eastAsia="宋体" w:cs="Times New Roman" w:hAnsi="Times New Roman"/>
                <w:snapToGrid w:val="0"/>
                <w:color w:val="000000"/>
                <w:sz w:val="21"/>
                <w:szCs w:val="21"/>
                <w:lang w:val="en-US" w:eastAsia="zh-CN" w:bidi="ar-SA"/>
                <w:highlight w:val="auto"/>
              </w:rPr>
              <w:t>7.10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val="en-US" w:eastAsia="zh-CN" w:bidi="ar-SA"/>
                <w:highlight w:val="auto"/>
              </w:rPr>
            </w:pPr>
            <w:r>
              <w:rPr>
                <w:rFonts w:ascii="Times New Roman" w:eastAsia="宋体" w:cs="Times New Roman" w:hAnsi="Times New Roman"/>
                <w:lang w:val="en-US" w:eastAsia="zh-CN" w:bidi="ar-SA"/>
                <w:highlight w:val="auto"/>
              </w:rPr>
              <w:t>7.10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31001</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房屋建筑物购建</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val="en-US" w:eastAsia="zh-CN" w:bidi="ar-SA"/>
                <w:highlight w:val="auto"/>
              </w:rPr>
            </w:pPr>
            <w:r>
              <w:rPr>
                <w:rFonts w:ascii="Times New Roman" w:cs="宋体" w:hAnsi="Times New Roman" w:hint="eastAsia"/>
                <w:kern w:val="0"/>
                <w:sz w:val="18"/>
                <w:szCs w:val="18"/>
              </w:rPr>
              <w:t>31002</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hint="eastAsia"/>
                <w:lang w:eastAsia="zh-CN" w:bidi="ar-SA"/>
                <w:highlight w:val="auto"/>
              </w:rPr>
            </w:pPr>
            <w:r>
              <w:rPr>
                <w:rFonts w:ascii="Times New Roman" w:cs="宋体" w:hAnsi="Times New Roman" w:hint="eastAsia"/>
                <w:kern w:val="0"/>
                <w:sz w:val="18"/>
                <w:szCs w:val="18"/>
              </w:rPr>
              <w:t>办公设备购置</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r>
              <w:rPr>
                <w:rFonts w:ascii="Times New Roman" w:eastAsia="宋体" w:cs="Times New Roman" w:hAnsi="Times New Roman"/>
                <w:snapToGrid w:val="0"/>
                <w:color w:val="000000"/>
                <w:sz w:val="21"/>
                <w:szCs w:val="21"/>
                <w:lang w:val="en-US" w:eastAsia="zh-CN" w:bidi="ar-SA"/>
                <w:highlight w:val="auto"/>
              </w:rPr>
              <w:t>7.10</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val="en-US" w:eastAsia="zh-CN" w:bidi="ar-SA"/>
                <w:highlight w:val="auto"/>
              </w:rPr>
            </w:pPr>
            <w:r>
              <w:rPr>
                <w:rFonts w:ascii="Times New Roman" w:eastAsia="宋体" w:cs="Times New Roman" w:hAnsi="Times New Roman"/>
                <w:lang w:val="en-US" w:eastAsia="zh-CN" w:bidi="ar-SA"/>
                <w:highlight w:val="auto"/>
              </w:rPr>
              <w:t>7.10</w:t>
            </w: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31003</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专用设备购置</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snapToGrid w:val="0"/>
                <w:color w:val="00000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90"/>
        </w:trPr>
        <w:tc>
          <w:tcPr>
            <w:tcW w:w="1252"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31006</w:t>
            </w:r>
          </w:p>
        </w:tc>
        <w:tc>
          <w:tcPr>
            <w:tcW w:w="4151" w:type="dxa"/>
            <w:tcBorders>
              <w:left w:val="single" w:sz="4" w:space="0" w:color="000000"/>
              <w:right w:val="single" w:sz="4" w:space="0" w:color="000000"/>
            </w:tcBorders>
            <w:noWrap/>
            <w:vAlign w:val="center"/>
          </w:tcPr>
          <w:p>
            <w:pPr>
              <w:widowControl/>
              <w:jc w:val="left"/>
              <w:rPr>
                <w:rFonts w:ascii="Times New Roman" w:eastAsia="宋体" w:cs="Times New Roman" w:hAnsi="Times New Roman"/>
                <w:lang w:bidi="ar-SA"/>
                <w:highlight w:val="auto"/>
              </w:rPr>
            </w:pPr>
            <w:r>
              <w:rPr>
                <w:rFonts w:ascii="Times New Roman" w:cs="宋体" w:hAnsi="Times New Roman" w:hint="eastAsia"/>
                <w:kern w:val="0"/>
                <w:sz w:val="18"/>
                <w:szCs w:val="18"/>
              </w:rPr>
              <w:t>大型修缮</w:t>
            </w: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val="en-US" w:eastAsia="zh-CN" w:bidi="ar-SA"/>
                <w:highlight w:val="auto"/>
              </w:rPr>
            </w:pPr>
          </w:p>
        </w:tc>
        <w:tc>
          <w:tcPr>
            <w:tcW w:w="1799"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c>
          <w:tcPr>
            <w:tcW w:w="1805" w:type="dxa"/>
            <w:tcBorders>
              <w:left w:val="single" w:sz="4" w:space="0" w:color="000000"/>
              <w:right w:val="single" w:sz="4" w:space="0" w:color="000000"/>
            </w:tcBorders>
            <w:noWrap/>
            <w:vAlign w:val="center"/>
          </w:tcPr>
          <w:p>
            <w:pPr>
              <w:pStyle w:val="914"/>
              <w:jc w:val="right"/>
              <w:rPr>
                <w:rFonts w:ascii="Times New Roman" w:eastAsia="宋体" w:cs="Times New Roman" w:hAnsi="Times New Roman"/>
                <w:lang w:bidi="ar-SA"/>
                <w:highlight w:val="auto"/>
              </w:rPr>
            </w:pPr>
          </w:p>
        </w:tc>
      </w:tr>
      <w:tr>
        <w:trPr>
          <w:trHeight w:val="297"/>
        </w:trPr>
        <w:tc>
          <w:tcPr>
            <w:tcW w:w="1252"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31007</w:t>
            </w:r>
          </w:p>
        </w:tc>
        <w:tc>
          <w:tcPr>
            <w:tcW w:w="4151"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信息网络及软件购置更新</w:t>
            </w: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b/>
                <w:bCs/>
                <w:color w:val="000000"/>
                <w:kern w:val="2"/>
                <w:sz w:val="20"/>
                <w:szCs w:val="20"/>
                <w:u w:val="none"/>
                <w:lang w:val="en-US" w:eastAsia="zh-CN" w:bidi="ar-SA"/>
              </w:rPr>
            </w:pP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805"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r>
      <w:tr>
        <w:trPr>
          <w:trHeight w:val="297"/>
        </w:trPr>
        <w:tc>
          <w:tcPr>
            <w:tcW w:w="1252"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31013</w:t>
            </w:r>
          </w:p>
        </w:tc>
        <w:tc>
          <w:tcPr>
            <w:tcW w:w="4151"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公务用车购置</w:t>
            </w: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805"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r>
      <w:tr>
        <w:trPr>
          <w:trHeight w:val="297"/>
        </w:trPr>
        <w:tc>
          <w:tcPr>
            <w:tcW w:w="1252"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31019</w:t>
            </w:r>
          </w:p>
        </w:tc>
        <w:tc>
          <w:tcPr>
            <w:tcW w:w="4151"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其他交通工具购置</w:t>
            </w: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805"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r>
      <w:tr>
        <w:trPr>
          <w:trHeight w:val="297"/>
        </w:trPr>
        <w:tc>
          <w:tcPr>
            <w:tcW w:w="1252"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31021</w:t>
            </w:r>
          </w:p>
        </w:tc>
        <w:tc>
          <w:tcPr>
            <w:tcW w:w="4151"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文物和陈列品购置</w:t>
            </w: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805"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r>
      <w:tr>
        <w:trPr>
          <w:trHeight w:val="297"/>
        </w:trPr>
        <w:tc>
          <w:tcPr>
            <w:tcW w:w="1252"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31022</w:t>
            </w:r>
          </w:p>
        </w:tc>
        <w:tc>
          <w:tcPr>
            <w:tcW w:w="4151" w:type="dxa"/>
            <w:tcBorders>
              <w:left w:val="single" w:sz="4" w:space="0" w:color="000000"/>
              <w:right w:val="single" w:sz="4" w:space="0" w:color="000000"/>
            </w:tcBorders>
            <w:noWrap/>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无形资产购置</w:t>
            </w: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79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805"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r>
      <w:tr>
        <w:trPr>
          <w:trHeight w:val="297"/>
        </w:trPr>
        <w:tc>
          <w:tcPr>
            <w:tcW w:w="1252" w:type="dxa"/>
            <w:tcBorders>
              <w:left w:val="single" w:sz="4" w:space="0" w:color="000000"/>
              <w:right w:val="single" w:sz="4" w:space="0" w:color="000000"/>
            </w:tcBorders>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31099</w:t>
            </w:r>
          </w:p>
        </w:tc>
        <w:tc>
          <w:tcPr>
            <w:tcW w:w="4151" w:type="dxa"/>
            <w:tcBorders>
              <w:left w:val="single" w:sz="4" w:space="0" w:color="000000"/>
              <w:right w:val="single" w:sz="4" w:space="0" w:color="000000"/>
            </w:tcBorders>
            <w:vAlign w:val="center"/>
          </w:tcPr>
          <w:p>
            <w:pPr>
              <w:widowControl/>
              <w:jc w:val="left"/>
              <w:rPr>
                <w:rFonts w:ascii="Times New Roman" w:eastAsia="宋体" w:cs="宋体" w:hAnsi="Times New Roman" w:hint="eastAsia"/>
                <w:kern w:val="0"/>
                <w:sz w:val="18"/>
                <w:szCs w:val="18"/>
                <w:lang w:val="en-US" w:eastAsia="zh-CN" w:bidi="ar-SA"/>
              </w:rPr>
            </w:pPr>
            <w:r>
              <w:rPr>
                <w:rFonts w:ascii="Times New Roman" w:cs="宋体" w:hAnsi="Times New Roman" w:hint="eastAsia"/>
                <w:kern w:val="0"/>
                <w:sz w:val="18"/>
                <w:szCs w:val="18"/>
              </w:rPr>
              <w:t>其他资本性支出</w:t>
            </w:r>
          </w:p>
        </w:tc>
        <w:tc>
          <w:tcPr>
            <w:tcW w:w="1799" w:type="dxa"/>
            <w:tcBorders>
              <w:left w:val="single" w:sz="4" w:space="0" w:color="000000"/>
              <w:right w:val="single" w:sz="4" w:space="0" w:color="000000"/>
            </w:tcBorders>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799" w:type="dxa"/>
            <w:tcBorders>
              <w:left w:val="single" w:sz="4" w:space="0" w:color="000000"/>
              <w:right w:val="single" w:sz="4" w:space="0" w:color="000000"/>
            </w:tcBorders>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c>
          <w:tcPr>
            <w:tcW w:w="1805" w:type="dxa"/>
            <w:tcBorders>
              <w:left w:val="single" w:sz="4" w:space="0" w:color="000000"/>
              <w:right w:val="single" w:sz="4" w:space="0" w:color="000000"/>
            </w:tcBorders>
          </w:tcPr>
          <w:p>
            <w:pPr>
              <w:keepNext w:val="0"/>
              <w:keepLines w:val="0"/>
              <w:widowControl/>
              <w:suppressLineNumbers w:val="0"/>
              <w:jc w:val="right"/>
              <w:textAlignment w:val="center"/>
              <w:rPr>
                <w:rFonts w:ascii="Times New Roman" w:eastAsia="宋体" w:cs="Arial" w:hAnsi="Times New Roman" w:hint="eastAsia"/>
                <w:b/>
                <w:snapToGrid w:val="0"/>
                <w:color w:val="000000"/>
                <w:kern w:val="0"/>
                <w:sz w:val="21"/>
                <w:szCs w:val="21"/>
                <w:lang w:val="en-US" w:eastAsia="zh-CN" w:bidi="ar-SA"/>
                <w:highlight w:val="auto"/>
              </w:rPr>
            </w:pPr>
          </w:p>
        </w:tc>
      </w:tr>
      <w:tr>
        <w:trPr>
          <w:trHeight w:val="297"/>
        </w:trPr>
        <w:tc>
          <w:tcPr>
            <w:tcW w:w="5403" w:type="dxa"/>
            <w:gridSpan w:val="2"/>
            <w:tcBorders>
              <w:left w:val="single" w:sz="4" w:space="0" w:color="000000"/>
              <w:right w:val="single" w:sz="4" w:space="0" w:color="000000"/>
            </w:tcBorders>
            <w:vAlign w:val="center"/>
          </w:tcPr>
          <w:p>
            <w:pPr>
              <w:widowControl/>
              <w:jc w:val="center"/>
              <w:rPr>
                <w:rFonts w:ascii="Times New Roman" w:eastAsia="宋体" w:cs="宋体" w:hAnsi="Times New Roman" w:hint="eastAsia"/>
                <w:kern w:val="0"/>
                <w:sz w:val="18"/>
                <w:szCs w:val="18"/>
                <w:lang w:eastAsia="zh-CN"/>
              </w:rPr>
            </w:pPr>
            <w:r>
              <w:rPr>
                <w:rFonts w:cs="宋体" w:hint="eastAsia"/>
                <w:b/>
                <w:bCs/>
                <w:kern w:val="0"/>
                <w:sz w:val="18"/>
                <w:szCs w:val="18"/>
                <w:lang w:eastAsia="zh-CN"/>
              </w:rPr>
              <w:t>合计</w:t>
            </w:r>
          </w:p>
        </w:tc>
        <w:tc>
          <w:tcPr>
            <w:tcW w:w="1799" w:type="dxa"/>
            <w:tcBorders>
              <w:left w:val="single" w:sz="4" w:space="0" w:color="000000"/>
              <w:right w:val="single" w:sz="4" w:space="0" w:color="000000"/>
            </w:tcBorders>
            <w:vAlign w:val="center"/>
          </w:tcPr>
          <w:p>
            <w:pPr>
              <w:pStyle w:val="914"/>
              <w:jc w:val="center"/>
              <w:rPr>
                <w:rFonts w:ascii="Times New Roman" w:eastAsia="宋体" w:cs="Times New Roman" w:hAnsi="Times New Roman" w:hint="eastAsia"/>
                <w:snapToGrid w:val="0"/>
                <w:color w:val="000000"/>
                <w:sz w:val="20"/>
                <w:szCs w:val="20"/>
                <w:lang w:val="en-US" w:eastAsia="zh-CN" w:bidi="ar-SA"/>
                <w:highlight w:val="auto"/>
              </w:rPr>
            </w:pPr>
            <w:r>
              <w:rPr>
                <w:rFonts w:ascii="Times New Roman" w:eastAsia="宋体" w:cs="Times New Roman" w:hAnsi="Times New Roman"/>
                <w:b/>
                <w:bCs/>
                <w:sz w:val="20"/>
                <w:szCs w:val="20"/>
                <w:lang w:val="en-US" w:eastAsia="zh-CN" w:bidi="ar-SA"/>
                <w:highlight w:val="auto"/>
              </w:rPr>
              <w:t>3000.00</w:t>
            </w:r>
          </w:p>
        </w:tc>
        <w:tc>
          <w:tcPr>
            <w:tcW w:w="1799" w:type="dxa"/>
            <w:tcBorders>
              <w:left w:val="single" w:sz="4" w:space="0" w:color="000000"/>
              <w:right w:val="single" w:sz="4" w:space="0" w:color="000000"/>
            </w:tcBorders>
            <w:vAlign w:val="center"/>
          </w:tcPr>
          <w:p>
            <w:pPr>
              <w:pStyle w:val="914"/>
              <w:jc w:val="center"/>
              <w:rPr>
                <w:rFonts w:ascii="Times New Roman" w:eastAsia="宋体" w:cs="Times New Roman" w:hAnsi="Times New Roman" w:hint="eastAsia"/>
                <w:b/>
                <w:snapToGrid w:val="0"/>
                <w:color w:val="000000"/>
                <w:sz w:val="20"/>
                <w:szCs w:val="20"/>
                <w:lang w:val="en-US" w:eastAsia="zh-CN" w:bidi="ar-SA"/>
                <w:highlight w:val="auto"/>
              </w:rPr>
            </w:pPr>
            <w:r>
              <w:rPr>
                <w:rFonts w:ascii="Times New Roman" w:eastAsia="宋体" w:cs="Times New Roman" w:hAnsi="Times New Roman"/>
                <w:b/>
                <w:snapToGrid w:val="0"/>
                <w:color w:val="000000"/>
                <w:sz w:val="20"/>
                <w:szCs w:val="20"/>
                <w:lang w:val="en-US" w:eastAsia="zh-CN" w:bidi="ar-SA"/>
                <w:highlight w:val="auto"/>
              </w:rPr>
              <w:t>1338.00</w:t>
            </w:r>
          </w:p>
        </w:tc>
        <w:tc>
          <w:tcPr>
            <w:tcW w:w="1805" w:type="dxa"/>
            <w:tcBorders>
              <w:left w:val="single" w:sz="4" w:space="0" w:color="000000"/>
              <w:right w:val="single" w:sz="4" w:space="0" w:color="000000"/>
            </w:tcBorders>
            <w:vAlign w:val="center"/>
          </w:tcPr>
          <w:p>
            <w:pPr>
              <w:pStyle w:val="914"/>
              <w:jc w:val="center"/>
              <w:rPr>
                <w:rFonts w:ascii="Times New Roman" w:eastAsia="宋体" w:cs="Times New Roman" w:hAnsi="Times New Roman" w:hint="eastAsia"/>
                <w:b/>
                <w:snapToGrid w:val="0"/>
                <w:color w:val="000000"/>
                <w:sz w:val="20"/>
                <w:szCs w:val="20"/>
                <w:lang w:val="en-US" w:eastAsia="zh-CN" w:bidi="ar-SA"/>
                <w:highlight w:val="auto"/>
              </w:rPr>
            </w:pPr>
            <w:r>
              <w:rPr>
                <w:rFonts w:ascii="Times New Roman" w:eastAsia="宋体" w:cs="Times New Roman" w:hAnsi="Times New Roman"/>
                <w:b/>
                <w:snapToGrid w:val="0"/>
                <w:color w:val="000000"/>
                <w:sz w:val="20"/>
                <w:szCs w:val="20"/>
                <w:lang w:val="en-US" w:eastAsia="zh-CN" w:bidi="ar-SA"/>
                <w:highlight w:val="auto"/>
              </w:rPr>
              <w:t>1662.00</w:t>
            </w:r>
          </w:p>
        </w:tc>
      </w:tr>
    </w:tbl>
    <w:p>
      <w:pPr>
        <w:pStyle w:val="914"/>
        <w:rPr>
          <w:rFonts w:ascii="Times New Roman" w:eastAsia="宋体" w:hAnsi="Times New Roman"/>
          <w:highlight w:val="auto"/>
        </w:rPr>
      </w:pPr>
    </w:p>
    <w:p>
      <w:pPr>
        <w:pStyle w:val="914"/>
        <w:rPr>
          <w:rFonts w:ascii="Times New Roman" w:eastAsia="宋体" w:hAnsi="Times New Roman"/>
          <w:highlight w:val="auto"/>
        </w:rPr>
        <w:sectPr>
          <w:pgSz w:w="11907" w:h="16841"/>
          <w:pgMar w:top="1431" w:right="638" w:bottom="0" w:left="451" w:header="0" w:footer="0" w:gutter="0"/>
          <w:docGrid w:linePitch="285" w:charSpace="0"/>
        </w:sectPr>
      </w:pPr>
    </w:p>
    <w:p>
      <w:pPr>
        <w:jc w:val="right"/>
        <w:rPr>
          <w:rFonts w:ascii="黑体" w:eastAsia="黑体" w:cs="黑体" w:hint="eastAsia"/>
          <w:snapToGrid w:val="0"/>
          <w:sz w:val="20"/>
          <w:szCs w:val="20"/>
          <w:lang w:eastAsia="zh-CN" w:bidi="ar-SA"/>
          <w:highlight w:val="auto"/>
        </w:rPr>
      </w:pPr>
      <w:r>
        <w:rPr>
          <w:rFonts w:ascii="黑体" w:eastAsia="黑体" w:cs="黑体" w:hint="eastAsia"/>
          <w:snapToGrid w:val="0"/>
          <w:sz w:val="20"/>
          <w:szCs w:val="20"/>
          <w:lang w:bidi="ar-SA"/>
          <w:highlight w:val="auto"/>
        </w:rPr>
        <w:t xml:space="preserve">部门公开表 </w:t>
      </w:r>
      <w:r>
        <w:rPr>
          <w:rFonts w:ascii="黑体" w:eastAsia="黑体" w:cs="黑体" w:hint="eastAsia"/>
          <w:snapToGrid w:val="0"/>
          <w:sz w:val="20"/>
          <w:szCs w:val="20"/>
          <w:lang w:val="en-US" w:eastAsia="zh-CN" w:bidi="ar-SA"/>
          <w:highlight w:val="auto"/>
        </w:rPr>
        <w:t>7</w:t>
      </w:r>
    </w:p>
    <w:p>
      <w:pPr>
        <w:jc w:val="center"/>
        <w:rPr>
          <w:rFonts w:cs="Microsoft JhengHei" w:hint="eastAsia"/>
          <w:b/>
          <w:sz w:val="36"/>
          <w:szCs w:val="36"/>
          <w:lang w:bidi="ar-SA"/>
          <w:highlight w:val="auto"/>
        </w:rPr>
      </w:pPr>
      <w:r>
        <w:rPr>
          <w:rFonts w:cs="Microsoft JhengHei" w:hint="eastAsia"/>
          <w:b/>
          <w:snapToGrid w:val="0"/>
          <w:color w:val="000000"/>
          <w:sz w:val="36"/>
          <w:szCs w:val="36"/>
          <w:lang w:bidi="ar-SA"/>
          <w:highlight w:val="auto"/>
        </w:rPr>
        <w:t>政府性基金预算支出表</w:t>
      </w:r>
    </w:p>
    <w:p>
      <w:pPr>
        <w:pStyle w:val="915"/>
        <w:spacing w:before="125" w:line="180" w:lineRule="auto"/>
        <w:ind w:firstLine="12184"/>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1"/>
          <w:sz w:val="20"/>
          <w:szCs w:val="20"/>
          <w:lang w:bidi="ar-SA"/>
          <w:highlight w:val="auto"/>
        </w:rPr>
        <w:t>单位:万元</w:t>
      </w:r>
    </w:p>
    <w:p>
      <w:pPr>
        <w:pStyle w:val="915"/>
        <w:spacing w:line="71" w:lineRule="exact"/>
        <w:rPr>
          <w:rFonts w:ascii="Times New Roman" w:eastAsia="宋体" w:hAnsi="Times New Roman"/>
          <w:highlight w:val="auto"/>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noWrap/>
          </w:tcPr>
          <w:p>
            <w:pPr>
              <w:pStyle w:val="915"/>
              <w:spacing w:line="372" w:lineRule="auto"/>
              <w:rPr>
                <w:rFonts w:ascii="Times New Roman" w:eastAsia="宋体" w:hAnsi="Times New Roman"/>
                <w:sz w:val="24"/>
                <w:szCs w:val="24"/>
                <w:highlight w:val="auto"/>
              </w:rPr>
            </w:pPr>
          </w:p>
          <w:p>
            <w:pPr>
              <w:pStyle w:val="915"/>
              <w:spacing w:before="121" w:line="180" w:lineRule="auto"/>
              <w:ind w:firstLine="760"/>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科目编码</w:t>
            </w:r>
          </w:p>
        </w:tc>
        <w:tc>
          <w:tcPr>
            <w:tcW w:w="2622" w:type="dxa"/>
            <w:vMerge w:val="restart"/>
            <w:tcBorders>
              <w:bottom w:val="nil"/>
            </w:tcBorders>
            <w:noWrap/>
          </w:tcPr>
          <w:p>
            <w:pPr>
              <w:pStyle w:val="915"/>
              <w:spacing w:line="372" w:lineRule="auto"/>
              <w:rPr>
                <w:rFonts w:ascii="Times New Roman" w:eastAsia="宋体" w:hAnsi="Times New Roman"/>
                <w:sz w:val="24"/>
                <w:szCs w:val="24"/>
                <w:highlight w:val="auto"/>
              </w:rPr>
            </w:pPr>
          </w:p>
          <w:p>
            <w:pPr>
              <w:pStyle w:val="915"/>
              <w:spacing w:before="121" w:line="180" w:lineRule="auto"/>
              <w:ind w:firstLine="754"/>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科目名称</w:t>
            </w:r>
          </w:p>
        </w:tc>
        <w:tc>
          <w:tcPr>
            <w:tcW w:w="7878" w:type="dxa"/>
            <w:gridSpan w:val="3"/>
            <w:tcBorders>
              <w:left w:val="single" w:sz="4" w:space="0" w:color="000000"/>
              <w:right w:val="single" w:sz="4" w:space="0" w:color="000000"/>
            </w:tcBorders>
            <w:noWrap/>
            <w:vAlign w:val="center"/>
          </w:tcPr>
          <w:p>
            <w:pPr>
              <w:pStyle w:val="915"/>
              <w:spacing w:before="166" w:line="180" w:lineRule="auto"/>
              <w:jc w:val="center"/>
              <w:rPr>
                <w:rFonts w:ascii="Times New Roman" w:eastAsia="宋体" w:cs="Microsoft JhengHei" w:hAnsi="Times New Roman" w:hint="eastAsia"/>
                <w:sz w:val="24"/>
                <w:szCs w:val="24"/>
                <w:lang w:bidi="ar-SA"/>
                <w:highlight w:val="auto"/>
              </w:rPr>
            </w:pPr>
            <w:r>
              <w:rPr>
                <w:rFonts w:ascii="Times New Roman" w:eastAsia="宋体" w:cs="Times New Roman" w:hAnsi="Times New Roman"/>
                <w:spacing w:val="-2"/>
                <w:sz w:val="24"/>
                <w:szCs w:val="24"/>
                <w:lang w:bidi="ar-SA"/>
                <w:highlight w:val="auto"/>
              </w:rPr>
              <w:t>202</w:t>
            </w:r>
            <w:r>
              <w:rPr>
                <w:rFonts w:ascii="Times New Roman" w:eastAsia="宋体" w:cs="Times New Roman" w:hAnsi="Times New Roman"/>
                <w:spacing w:val="-2"/>
                <w:sz w:val="24"/>
                <w:szCs w:val="24"/>
                <w:lang w:val="en-US" w:eastAsia="zh-CN" w:bidi="ar-SA"/>
                <w:highlight w:val="auto"/>
              </w:rPr>
              <w:t>5</w:t>
            </w:r>
            <w:r>
              <w:rPr>
                <w:rFonts w:ascii="Times New Roman" w:eastAsia="宋体" w:cs="Microsoft JhengHei" w:hAnsi="Times New Roman" w:hint="eastAsia"/>
                <w:spacing w:val="-2"/>
                <w:sz w:val="24"/>
                <w:szCs w:val="24"/>
                <w:lang w:bidi="ar-SA"/>
                <w:highlight w:val="auto"/>
              </w:rPr>
              <w:t>年政府性基金预算支出</w:t>
            </w:r>
          </w:p>
        </w:tc>
      </w:tr>
      <w:tr>
        <w:trPr>
          <w:trHeight w:val="649"/>
        </w:trPr>
        <w:tc>
          <w:tcPr>
            <w:tcW w:w="2631" w:type="dxa"/>
            <w:vMerge/>
            <w:tcBorders>
              <w:top w:val="nil"/>
            </w:tcBorders>
            <w:noWrap/>
          </w:tcPr>
          <w:p/>
        </w:tc>
        <w:tc>
          <w:tcPr>
            <w:tcW w:w="2622" w:type="dxa"/>
            <w:vMerge/>
            <w:tcBorders>
              <w:top w:val="nil"/>
            </w:tcBorders>
            <w:noWrap/>
          </w:tcPr>
          <w:p/>
        </w:tc>
        <w:tc>
          <w:tcPr>
            <w:tcW w:w="2624" w:type="dxa"/>
            <w:tcBorders>
              <w:left w:val="single" w:sz="4" w:space="0" w:color="000000"/>
              <w:right w:val="single" w:sz="4" w:space="0" w:color="000000"/>
            </w:tcBorders>
            <w:noWrap/>
            <w:vAlign w:val="center"/>
          </w:tcPr>
          <w:p>
            <w:pPr>
              <w:pStyle w:val="915"/>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合计</w:t>
            </w:r>
          </w:p>
        </w:tc>
        <w:tc>
          <w:tcPr>
            <w:tcW w:w="2623" w:type="dxa"/>
            <w:tcBorders>
              <w:left w:val="single" w:sz="4" w:space="0" w:color="000000"/>
              <w:right w:val="single" w:sz="4" w:space="0" w:color="000000"/>
            </w:tcBorders>
            <w:noWrap/>
            <w:vAlign w:val="center"/>
          </w:tcPr>
          <w:p>
            <w:pPr>
              <w:pStyle w:val="915"/>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基本支出</w:t>
            </w:r>
          </w:p>
        </w:tc>
        <w:tc>
          <w:tcPr>
            <w:tcW w:w="2631" w:type="dxa"/>
            <w:tcBorders>
              <w:left w:val="single" w:sz="4" w:space="0" w:color="000000"/>
              <w:right w:val="single" w:sz="4" w:space="0" w:color="000000"/>
            </w:tcBorders>
            <w:noWrap/>
            <w:vAlign w:val="center"/>
          </w:tcPr>
          <w:p>
            <w:pPr>
              <w:pStyle w:val="915"/>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项目支出</w:t>
            </w:r>
          </w:p>
        </w:tc>
      </w:tr>
      <w:tr>
        <w:trPr>
          <w:trHeight w:val="529"/>
        </w:trPr>
        <w:tc>
          <w:tcPr>
            <w:tcW w:w="2631"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2"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4"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r>
      <w:tr>
        <w:trPr>
          <w:trHeight w:val="528"/>
        </w:trPr>
        <w:tc>
          <w:tcPr>
            <w:tcW w:w="2631"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2"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4"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r>
      <w:tr>
        <w:trPr>
          <w:trHeight w:val="528"/>
        </w:trPr>
        <w:tc>
          <w:tcPr>
            <w:tcW w:w="2631"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2"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4"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r>
      <w:tr>
        <w:trPr>
          <w:trHeight w:val="528"/>
        </w:trPr>
        <w:tc>
          <w:tcPr>
            <w:tcW w:w="2631"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2"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4"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r>
      <w:tr>
        <w:trPr>
          <w:trHeight w:val="535"/>
        </w:trPr>
        <w:tc>
          <w:tcPr>
            <w:tcW w:w="5253" w:type="dxa"/>
            <w:gridSpan w:val="2"/>
            <w:tcBorders>
              <w:left w:val="single" w:sz="4" w:space="0" w:color="000000"/>
              <w:right w:val="single" w:sz="4" w:space="0" w:color="000000"/>
            </w:tcBorders>
            <w:noWrap/>
          </w:tcPr>
          <w:p>
            <w:pPr>
              <w:pStyle w:val="915"/>
              <w:spacing w:before="107" w:line="180" w:lineRule="auto"/>
              <w:ind w:firstLine="2211"/>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6"/>
                <w:sz w:val="24"/>
                <w:szCs w:val="24"/>
                <w:lang w:bidi="ar-SA"/>
                <w:highlight w:val="auto"/>
              </w:rPr>
              <w:t>合</w:t>
            </w:r>
            <w:r>
              <w:rPr>
                <w:rFonts w:ascii="Times New Roman" w:eastAsia="宋体" w:cs="Microsoft JhengHei" w:hAnsi="Times New Roman" w:hint="eastAsia"/>
                <w:spacing w:val="2"/>
                <w:sz w:val="24"/>
                <w:szCs w:val="24"/>
                <w:lang w:bidi="ar-SA"/>
                <w:highlight w:val="auto"/>
              </w:rPr>
              <w:t xml:space="preserve">    </w:t>
            </w:r>
            <w:r>
              <w:rPr>
                <w:rFonts w:ascii="Times New Roman" w:eastAsia="宋体" w:cs="Microsoft JhengHei" w:hAnsi="Times New Roman" w:hint="eastAsia"/>
                <w:spacing w:val="-6"/>
                <w:sz w:val="24"/>
                <w:szCs w:val="24"/>
                <w:lang w:bidi="ar-SA"/>
                <w:highlight w:val="auto"/>
              </w:rPr>
              <w:t>计</w:t>
            </w:r>
          </w:p>
        </w:tc>
        <w:tc>
          <w:tcPr>
            <w:tcW w:w="2624"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5"/>
              <w:rPr>
                <w:rFonts w:ascii="Times New Roman" w:eastAsia="宋体" w:hAnsi="Times New Roman"/>
                <w:sz w:val="24"/>
                <w:szCs w:val="24"/>
                <w:highlight w:val="auto"/>
              </w:rPr>
            </w:pPr>
          </w:p>
        </w:tc>
      </w:tr>
    </w:tbl>
    <w:p>
      <w:pPr>
        <w:pStyle w:val="915"/>
        <w:spacing w:before="94" w:line="180" w:lineRule="auto"/>
        <w:ind w:firstLine="134"/>
        <w:jc w:val="both"/>
        <w:rPr>
          <w:rFonts w:ascii="方正仿宋_GBK" w:eastAsia="方正仿宋_GBK" w:cs="方正仿宋_GBK" w:hint="eastAsia"/>
          <w:spacing w:val="-1"/>
          <w:sz w:val="24"/>
          <w:szCs w:val="24"/>
          <w:lang w:bidi="ar-SA"/>
          <w:highlight w:val="auto"/>
        </w:rPr>
      </w:pPr>
    </w:p>
    <w:p>
      <w:pPr>
        <w:pStyle w:val="915"/>
        <w:spacing w:before="94" w:line="180" w:lineRule="auto"/>
        <w:ind w:firstLine="134"/>
        <w:jc w:val="both"/>
        <w:rPr>
          <w:rFonts w:ascii="方正仿宋_GBK" w:eastAsia="方正仿宋_GBK" w:cs="方正仿宋_GBK" w:hint="eastAsia"/>
          <w:sz w:val="24"/>
          <w:szCs w:val="24"/>
          <w:lang w:bidi="ar-SA"/>
          <w:highlight w:val="auto"/>
        </w:rPr>
      </w:pPr>
      <w:r>
        <w:rPr>
          <w:rFonts w:ascii="方正仿宋_GBK" w:eastAsia="方正仿宋_GBK" w:cs="方正仿宋_GBK" w:hint="eastAsia"/>
          <w:spacing w:val="-1"/>
          <w:sz w:val="24"/>
          <w:szCs w:val="24"/>
          <w:lang w:bidi="ar-SA"/>
          <w:highlight w:val="auto"/>
        </w:rPr>
        <w:t>注：无政府性基金预算拨款收入，也无使用政府性基金安排的支出，故本表无数据。</w:t>
      </w:r>
    </w:p>
    <w:p>
      <w:pPr>
        <w:pStyle w:val="915"/>
        <w:jc w:val="both"/>
        <w:rPr>
          <w:rFonts w:ascii="Times New Roman" w:eastAsia="宋体" w:hAnsi="Times New Roman"/>
          <w:highlight w:val="auto"/>
        </w:rPr>
        <w:sectPr>
          <w:pgSz w:w="16841" w:h="11907"/>
          <w:pgMar w:top="808" w:right="1848" w:bottom="0" w:left="1850" w:header="0" w:footer="0" w:gutter="0"/>
          <w:docGrid w:linePitch="285" w:charSpace="0"/>
        </w:sectPr>
      </w:pPr>
    </w:p>
    <w:p>
      <w:pPr>
        <w:wordWrap w:val="0"/>
        <w:jc w:val="right"/>
        <w:rPr>
          <w:rFonts w:cs="Microsoft JhengHei"/>
          <w:snapToGrid w:val="0"/>
          <w:szCs w:val="21"/>
          <w:lang w:bidi="ar-SA"/>
          <w:highlight w:val="auto"/>
        </w:rPr>
      </w:pPr>
      <w:r>
        <w:rPr>
          <w:rFonts w:ascii="黑体" w:eastAsia="黑体" w:cs="黑体" w:hint="eastAsia"/>
          <w:snapToGrid w:val="0"/>
          <w:sz w:val="20"/>
          <w:szCs w:val="20"/>
          <w:lang w:bidi="ar-SA"/>
          <w:highlight w:val="auto"/>
        </w:rPr>
        <w:t xml:space="preserve">部门公开表 </w:t>
      </w:r>
      <w:r>
        <w:rPr>
          <w:rFonts w:ascii="黑体" w:eastAsia="黑体" w:cs="黑体" w:hint="eastAsia"/>
          <w:snapToGrid w:val="0"/>
          <w:sz w:val="20"/>
          <w:szCs w:val="20"/>
          <w:lang w:val="en-US" w:eastAsia="zh-CN" w:bidi="ar-SA"/>
          <w:highlight w:val="auto"/>
        </w:rPr>
        <w:t>8</w:t>
      </w:r>
      <w:r>
        <w:rPr>
          <w:rFonts w:cs="Microsoft JhengHei" w:hint="eastAsia"/>
          <w:snapToGrid w:val="0"/>
          <w:szCs w:val="21"/>
          <w:lang w:bidi="ar-SA"/>
          <w:highlight w:val="auto"/>
        </w:rPr>
        <w:t xml:space="preserve">             </w:t>
      </w:r>
    </w:p>
    <w:p>
      <w:pPr>
        <w:jc w:val="center"/>
        <w:rPr>
          <w:rFonts w:cs="Microsoft JhengHei" w:hint="eastAsia"/>
          <w:b/>
          <w:sz w:val="36"/>
          <w:szCs w:val="36"/>
          <w:lang w:bidi="ar-SA"/>
          <w:highlight w:val="auto"/>
        </w:rPr>
      </w:pPr>
      <w:r>
        <w:rPr>
          <w:rFonts w:cs="Microsoft JhengHei" w:hint="eastAsia"/>
          <w:b/>
          <w:snapToGrid w:val="0"/>
          <w:color w:val="000000"/>
          <w:sz w:val="36"/>
          <w:szCs w:val="36"/>
          <w:lang w:bidi="ar-SA"/>
          <w:highlight w:val="auto"/>
        </w:rPr>
        <w:t>国有资本经营预算支出表</w:t>
      </w:r>
    </w:p>
    <w:p>
      <w:pPr>
        <w:pStyle w:val="916"/>
        <w:kinsoku w:val="0"/>
        <w:wordWrap w:val="0"/>
        <w:autoSpaceDE w:val="0"/>
        <w:autoSpaceDN w:val="0"/>
        <w:spacing w:before="149" w:line="180" w:lineRule="auto"/>
        <w:ind w:firstLine="12184"/>
        <w:jc w:val="right"/>
        <w:rPr>
          <w:rFonts w:ascii="Times New Roman" w:eastAsia="宋体" w:cs="Microsoft JhengHei" w:hAnsi="Times New Roman"/>
          <w:sz w:val="20"/>
          <w:szCs w:val="20"/>
          <w:lang w:bidi="ar-SA"/>
          <w:highlight w:val="auto"/>
        </w:rPr>
      </w:pPr>
      <w:r>
        <w:rPr>
          <w:rFonts w:ascii="Times New Roman" w:eastAsia="宋体" w:cs="Microsoft JhengHei" w:hAnsi="Times New Roman" w:hint="eastAsia"/>
          <w:spacing w:val="-1"/>
          <w:sz w:val="20"/>
          <w:szCs w:val="20"/>
          <w:lang w:bidi="ar-SA"/>
          <w:highlight w:val="auto"/>
        </w:rPr>
        <w:t xml:space="preserve">单位:万元              </w:t>
      </w:r>
    </w:p>
    <w:p>
      <w:pPr>
        <w:pStyle w:val="916"/>
        <w:spacing w:line="71" w:lineRule="exact"/>
        <w:rPr>
          <w:rFonts w:ascii="Times New Roman" w:eastAsia="宋体" w:hAnsi="Times New Roman"/>
          <w:highlight w:val="auto"/>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noWrap/>
          </w:tcPr>
          <w:p>
            <w:pPr>
              <w:pStyle w:val="916"/>
              <w:spacing w:line="372" w:lineRule="auto"/>
              <w:rPr>
                <w:rFonts w:ascii="Times New Roman" w:eastAsia="宋体" w:hAnsi="Times New Roman"/>
                <w:sz w:val="24"/>
                <w:szCs w:val="24"/>
                <w:highlight w:val="auto"/>
              </w:rPr>
            </w:pPr>
          </w:p>
          <w:p>
            <w:pPr>
              <w:pStyle w:val="916"/>
              <w:spacing w:before="121" w:line="180" w:lineRule="auto"/>
              <w:ind w:firstLine="760"/>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科目编码</w:t>
            </w:r>
          </w:p>
        </w:tc>
        <w:tc>
          <w:tcPr>
            <w:tcW w:w="2622" w:type="dxa"/>
            <w:vMerge w:val="restart"/>
            <w:tcBorders>
              <w:bottom w:val="nil"/>
            </w:tcBorders>
            <w:noWrap/>
          </w:tcPr>
          <w:p>
            <w:pPr>
              <w:pStyle w:val="916"/>
              <w:spacing w:line="372" w:lineRule="auto"/>
              <w:rPr>
                <w:rFonts w:ascii="Times New Roman" w:eastAsia="宋体" w:hAnsi="Times New Roman"/>
                <w:sz w:val="24"/>
                <w:szCs w:val="24"/>
                <w:highlight w:val="auto"/>
              </w:rPr>
            </w:pPr>
          </w:p>
          <w:p>
            <w:pPr>
              <w:pStyle w:val="916"/>
              <w:spacing w:before="121" w:line="180" w:lineRule="auto"/>
              <w:ind w:firstLine="754"/>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科目名称</w:t>
            </w:r>
          </w:p>
        </w:tc>
        <w:tc>
          <w:tcPr>
            <w:tcW w:w="7878" w:type="dxa"/>
            <w:gridSpan w:val="3"/>
            <w:tcBorders>
              <w:left w:val="single" w:sz="4" w:space="0" w:color="000000"/>
              <w:right w:val="single" w:sz="4" w:space="0" w:color="000000"/>
            </w:tcBorders>
            <w:noWrap/>
            <w:vAlign w:val="center"/>
          </w:tcPr>
          <w:p>
            <w:pPr>
              <w:pStyle w:val="915"/>
              <w:spacing w:before="166" w:line="180" w:lineRule="auto"/>
              <w:jc w:val="center"/>
              <w:rPr>
                <w:rFonts w:ascii="Times New Roman" w:eastAsia="宋体" w:cs="Microsoft JhengHei" w:hAnsi="Times New Roman" w:hint="eastAsia"/>
                <w:sz w:val="24"/>
                <w:szCs w:val="24"/>
                <w:lang w:bidi="ar-SA"/>
                <w:highlight w:val="auto"/>
              </w:rPr>
            </w:pPr>
            <w:r>
              <w:rPr>
                <w:rFonts w:ascii="Times New Roman" w:eastAsia="宋体" w:cs="Times New Roman" w:hAnsi="Times New Roman"/>
                <w:spacing w:val="-2"/>
                <w:sz w:val="24"/>
                <w:szCs w:val="24"/>
                <w:lang w:bidi="ar-SA"/>
                <w:highlight w:val="auto"/>
              </w:rPr>
              <w:t>2025</w:t>
            </w:r>
            <w:r>
              <w:rPr>
                <w:rFonts w:ascii="Times New Roman" w:eastAsia="宋体" w:cs="Microsoft JhengHei" w:hAnsi="Times New Roman" w:hint="eastAsia"/>
                <w:spacing w:val="-2"/>
                <w:sz w:val="24"/>
                <w:szCs w:val="24"/>
                <w:lang w:bidi="ar-SA"/>
                <w:highlight w:val="auto"/>
              </w:rPr>
              <w:t>年国有资本经营预算支出</w:t>
            </w:r>
          </w:p>
        </w:tc>
      </w:tr>
      <w:tr>
        <w:trPr>
          <w:trHeight w:val="649"/>
        </w:trPr>
        <w:tc>
          <w:tcPr>
            <w:tcW w:w="2631" w:type="dxa"/>
            <w:vMerge/>
            <w:tcBorders>
              <w:top w:val="nil"/>
            </w:tcBorders>
            <w:noWrap/>
          </w:tcPr>
          <w:p/>
        </w:tc>
        <w:tc>
          <w:tcPr>
            <w:tcW w:w="2622" w:type="dxa"/>
            <w:vMerge/>
            <w:tcBorders>
              <w:top w:val="nil"/>
            </w:tcBorders>
            <w:noWrap/>
          </w:tcPr>
          <w:p/>
        </w:tc>
        <w:tc>
          <w:tcPr>
            <w:tcW w:w="2624" w:type="dxa"/>
            <w:tcBorders>
              <w:left w:val="single" w:sz="4" w:space="0" w:color="000000"/>
              <w:right w:val="single" w:sz="4" w:space="0" w:color="000000"/>
            </w:tcBorders>
            <w:noWrap/>
            <w:vAlign w:val="center"/>
          </w:tcPr>
          <w:p>
            <w:pPr>
              <w:pStyle w:val="915"/>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合计</w:t>
            </w:r>
          </w:p>
        </w:tc>
        <w:tc>
          <w:tcPr>
            <w:tcW w:w="2623" w:type="dxa"/>
            <w:tcBorders>
              <w:left w:val="single" w:sz="4" w:space="0" w:color="000000"/>
              <w:right w:val="single" w:sz="4" w:space="0" w:color="000000"/>
            </w:tcBorders>
            <w:noWrap/>
            <w:vAlign w:val="center"/>
          </w:tcPr>
          <w:p>
            <w:pPr>
              <w:pStyle w:val="915"/>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基本支出</w:t>
            </w:r>
          </w:p>
        </w:tc>
        <w:tc>
          <w:tcPr>
            <w:tcW w:w="2631" w:type="dxa"/>
            <w:tcBorders>
              <w:left w:val="single" w:sz="4" w:space="0" w:color="000000"/>
              <w:right w:val="single" w:sz="4" w:space="0" w:color="000000"/>
            </w:tcBorders>
            <w:noWrap/>
            <w:vAlign w:val="center"/>
          </w:tcPr>
          <w:p>
            <w:pPr>
              <w:pStyle w:val="915"/>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项目支出</w:t>
            </w:r>
          </w:p>
        </w:tc>
      </w:tr>
      <w:tr>
        <w:trPr>
          <w:trHeight w:val="529"/>
        </w:trPr>
        <w:tc>
          <w:tcPr>
            <w:tcW w:w="2631"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2"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4"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r>
      <w:tr>
        <w:trPr>
          <w:trHeight w:val="528"/>
        </w:trPr>
        <w:tc>
          <w:tcPr>
            <w:tcW w:w="2631"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2"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4"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r>
      <w:tr>
        <w:trPr>
          <w:trHeight w:val="528"/>
        </w:trPr>
        <w:tc>
          <w:tcPr>
            <w:tcW w:w="2631"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2"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4"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r>
      <w:tr>
        <w:trPr>
          <w:trHeight w:val="528"/>
        </w:trPr>
        <w:tc>
          <w:tcPr>
            <w:tcW w:w="2631"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2"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4"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r>
      <w:tr>
        <w:trPr>
          <w:trHeight w:val="535"/>
        </w:trPr>
        <w:tc>
          <w:tcPr>
            <w:tcW w:w="5253" w:type="dxa"/>
            <w:gridSpan w:val="2"/>
            <w:tcBorders>
              <w:left w:val="single" w:sz="4" w:space="0" w:color="000000"/>
              <w:right w:val="single" w:sz="4" w:space="0" w:color="000000"/>
            </w:tcBorders>
            <w:noWrap/>
          </w:tcPr>
          <w:p>
            <w:pPr>
              <w:pStyle w:val="916"/>
              <w:spacing w:before="107" w:line="180" w:lineRule="auto"/>
              <w:ind w:firstLine="2211"/>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6"/>
                <w:sz w:val="24"/>
                <w:szCs w:val="24"/>
                <w:lang w:bidi="ar-SA"/>
                <w:highlight w:val="auto"/>
              </w:rPr>
              <w:t>合</w:t>
            </w:r>
            <w:r>
              <w:rPr>
                <w:rFonts w:ascii="Times New Roman" w:eastAsia="宋体" w:cs="Microsoft JhengHei" w:hAnsi="Times New Roman" w:hint="eastAsia"/>
                <w:spacing w:val="2"/>
                <w:sz w:val="24"/>
                <w:szCs w:val="24"/>
                <w:lang w:bidi="ar-SA"/>
                <w:highlight w:val="auto"/>
              </w:rPr>
              <w:t xml:space="preserve">    </w:t>
            </w:r>
            <w:r>
              <w:rPr>
                <w:rFonts w:ascii="Times New Roman" w:eastAsia="宋体" w:cs="Microsoft JhengHei" w:hAnsi="Times New Roman" w:hint="eastAsia"/>
                <w:spacing w:val="-6"/>
                <w:sz w:val="24"/>
                <w:szCs w:val="24"/>
                <w:lang w:bidi="ar-SA"/>
                <w:highlight w:val="auto"/>
              </w:rPr>
              <w:t>计</w:t>
            </w:r>
          </w:p>
        </w:tc>
        <w:tc>
          <w:tcPr>
            <w:tcW w:w="2624"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23"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c>
          <w:tcPr>
            <w:tcW w:w="2631" w:type="dxa"/>
            <w:tcBorders>
              <w:left w:val="single" w:sz="4" w:space="0" w:color="000000"/>
              <w:right w:val="single" w:sz="4" w:space="0" w:color="000000"/>
            </w:tcBorders>
            <w:noWrap/>
          </w:tcPr>
          <w:p>
            <w:pPr>
              <w:pStyle w:val="916"/>
              <w:rPr>
                <w:rFonts w:ascii="Times New Roman" w:eastAsia="宋体" w:hAnsi="Times New Roman"/>
                <w:sz w:val="24"/>
                <w:szCs w:val="24"/>
                <w:highlight w:val="auto"/>
              </w:rPr>
            </w:pPr>
          </w:p>
        </w:tc>
      </w:tr>
    </w:tbl>
    <w:p>
      <w:pPr>
        <w:pStyle w:val="916"/>
        <w:spacing w:before="94" w:line="180" w:lineRule="auto"/>
        <w:ind w:firstLineChars="663" w:firstLine="1512"/>
        <w:rPr>
          <w:rFonts w:ascii="方正仿宋_GBK" w:eastAsia="方正仿宋_GBK" w:cs="方正仿宋_GBK" w:hint="eastAsia"/>
          <w:spacing w:val="-6"/>
          <w:sz w:val="24"/>
          <w:szCs w:val="24"/>
          <w:lang w:bidi="ar-SA"/>
          <w:highlight w:val="auto"/>
        </w:rPr>
      </w:pPr>
      <w:r>
        <w:rPr>
          <w:rFonts w:ascii="方正仿宋_GBK" w:eastAsia="方正仿宋_GBK" w:cs="方正仿宋_GBK" w:hint="eastAsia"/>
          <w:spacing w:val="-6"/>
          <w:sz w:val="24"/>
          <w:szCs w:val="24"/>
          <w:lang w:bidi="ar-SA"/>
          <w:highlight w:val="auto"/>
        </w:rPr>
        <w:t>注：无国有资本经营预算收入，也无使用国有资本经营预算安排的支出，故本表无数据。</w:t>
      </w:r>
    </w:p>
    <w:p>
      <w:pPr>
        <w:jc w:val="right"/>
        <w:rPr>
          <w:rFonts w:ascii="黑体" w:eastAsia="黑体" w:cs="黑体" w:hint="eastAsia"/>
          <w:sz w:val="20"/>
          <w:szCs w:val="20"/>
          <w:lang w:eastAsia="zh-CN" w:bidi="ar-SA"/>
          <w:highlight w:val="auto"/>
        </w:rPr>
      </w:pPr>
      <w:r>
        <w:rPr>
          <w:rFonts w:ascii="方正仿宋_GBK" w:eastAsia="方正仿宋_GBK" w:cs="方正仿宋_GBK" w:hint="eastAsia"/>
          <w:spacing w:val="-6"/>
          <w:sz w:val="24"/>
          <w:szCs w:val="24"/>
          <w:lang w:bidi="ar-SA"/>
          <w:highlight w:val="auto"/>
        </w:rPr>
        <w:br w:type="page"/>
      </w:r>
      <w:r>
        <w:rPr>
          <w:rFonts w:ascii="黑体" w:eastAsia="黑体" w:cs="黑体" w:hint="eastAsia"/>
          <w:snapToGrid w:val="0"/>
          <w:sz w:val="20"/>
          <w:szCs w:val="20"/>
          <w:lang w:bidi="ar-SA"/>
          <w:highlight w:val="auto"/>
        </w:rPr>
        <w:t xml:space="preserve">部门公开表 </w:t>
      </w:r>
      <w:r>
        <w:rPr>
          <w:rFonts w:ascii="黑体" w:eastAsia="黑体" w:cs="黑体" w:hint="eastAsia"/>
          <w:snapToGrid w:val="0"/>
          <w:sz w:val="20"/>
          <w:szCs w:val="20"/>
          <w:lang w:val="en-US" w:eastAsia="zh-CN" w:bidi="ar-SA"/>
          <w:highlight w:val="auto"/>
        </w:rPr>
        <w:t>9</w:t>
      </w:r>
    </w:p>
    <w:p>
      <w:pPr>
        <w:jc w:val="center"/>
        <w:rPr>
          <w:rFonts w:cs="Microsoft JhengHei" w:hint="eastAsia"/>
          <w:b/>
          <w:snapToGrid w:val="0"/>
          <w:color w:val="000000"/>
          <w:sz w:val="36"/>
          <w:szCs w:val="36"/>
          <w:lang w:bidi="ar-SA"/>
          <w:highlight w:val="auto"/>
        </w:rPr>
      </w:pPr>
      <w:r>
        <w:rPr>
          <w:rFonts w:cs="Microsoft JhengHei" w:hint="eastAsia"/>
          <w:b/>
          <w:snapToGrid w:val="0"/>
          <w:color w:val="000000"/>
          <w:sz w:val="36"/>
          <w:szCs w:val="36"/>
          <w:lang w:bidi="ar-SA"/>
          <w:highlight w:val="auto"/>
        </w:rPr>
        <w:t>财政拨款预算“三公”经费支出表</w:t>
      </w:r>
    </w:p>
    <w:p>
      <w:pPr>
        <w:pStyle w:val="917"/>
        <w:spacing w:before="65" w:line="180" w:lineRule="auto"/>
        <w:ind w:firstLine="13869"/>
        <w:jc w:val="both"/>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917"/>
        <w:spacing w:line="20" w:lineRule="exact"/>
        <w:rPr>
          <w:rFonts w:ascii="Times New Roman" w:eastAsia="宋体" w:hAnsi="Times New Roman"/>
          <w:highlight w:val="auto"/>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329"/>
        <w:gridCol w:w="1822"/>
        <w:gridCol w:w="2100"/>
        <w:gridCol w:w="2727"/>
        <w:gridCol w:w="2139"/>
      </w:tblGrid>
      <w:tr>
        <w:trPr>
          <w:trHeight w:val="671"/>
        </w:trPr>
        <w:tc>
          <w:tcPr>
            <w:tcW w:w="13293" w:type="dxa"/>
            <w:gridSpan w:val="6"/>
            <w:tcBorders>
              <w:left w:val="single" w:sz="4" w:space="0" w:color="000000"/>
              <w:right w:val="single" w:sz="4" w:space="0" w:color="000000"/>
            </w:tcBorders>
            <w:noWrap/>
            <w:vAlign w:val="center"/>
          </w:tcPr>
          <w:p>
            <w:pPr>
              <w:pStyle w:val="917"/>
              <w:spacing w:before="213" w:line="180" w:lineRule="auto"/>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2"/>
                <w:sz w:val="22"/>
                <w:szCs w:val="22"/>
                <w:lang w:bidi="ar-SA"/>
                <w:highlight w:val="auto"/>
              </w:rPr>
              <w:t>202</w:t>
            </w:r>
            <w:r>
              <w:rPr>
                <w:rFonts w:ascii="Times New Roman" w:eastAsia="宋体" w:cs="Times New Roman" w:hAnsi="Times New Roman"/>
                <w:spacing w:val="-2"/>
                <w:sz w:val="22"/>
                <w:szCs w:val="22"/>
                <w:lang w:val="en-US" w:eastAsia="zh-CN" w:bidi="ar-SA"/>
                <w:highlight w:val="auto"/>
              </w:rPr>
              <w:t>5</w:t>
            </w:r>
            <w:r>
              <w:rPr>
                <w:rFonts w:ascii="Times New Roman" w:eastAsia="宋体" w:cs="Times New Roman" w:hAnsi="Times New Roman"/>
                <w:spacing w:val="-2"/>
                <w:sz w:val="22"/>
                <w:szCs w:val="22"/>
                <w:lang w:bidi="ar-SA"/>
                <w:highlight w:val="auto"/>
              </w:rPr>
              <w:t>年预算数</w:t>
            </w:r>
          </w:p>
        </w:tc>
      </w:tr>
      <w:tr>
        <w:trPr>
          <w:trHeight w:val="872"/>
        </w:trPr>
        <w:tc>
          <w:tcPr>
            <w:tcW w:w="2176" w:type="dxa"/>
            <w:vMerge w:val="restart"/>
            <w:tcBorders>
              <w:bottom w:val="nil"/>
            </w:tcBorders>
            <w:noWrap/>
            <w:vAlign w:val="center"/>
          </w:tcPr>
          <w:p>
            <w:pPr>
              <w:pStyle w:val="917"/>
              <w:spacing w:line="295" w:lineRule="auto"/>
              <w:jc w:val="center"/>
              <w:rPr>
                <w:rFonts w:ascii="Times New Roman" w:eastAsia="宋体" w:cs="Times New Roman" w:hAnsi="Times New Roman"/>
                <w:sz w:val="22"/>
                <w:szCs w:val="22"/>
                <w:lang w:bidi="ar-SA"/>
                <w:highlight w:val="auto"/>
              </w:rPr>
            </w:pPr>
          </w:p>
          <w:p>
            <w:pPr>
              <w:pStyle w:val="917"/>
              <w:spacing w:line="295" w:lineRule="auto"/>
              <w:jc w:val="center"/>
              <w:rPr>
                <w:rFonts w:ascii="Times New Roman" w:eastAsia="宋体" w:cs="Times New Roman" w:hAnsi="Times New Roman"/>
                <w:sz w:val="22"/>
                <w:szCs w:val="22"/>
                <w:lang w:bidi="ar-SA"/>
                <w:highlight w:val="auto"/>
              </w:rPr>
            </w:pPr>
          </w:p>
          <w:p>
            <w:pPr>
              <w:pStyle w:val="917"/>
              <w:spacing w:before="90" w:line="180" w:lineRule="auto"/>
              <w:ind w:firstLine="333"/>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2"/>
                <w:sz w:val="22"/>
                <w:szCs w:val="22"/>
                <w:lang w:bidi="ar-SA"/>
                <w:highlight w:val="auto"/>
              </w:rPr>
              <w:t>合计</w:t>
            </w:r>
          </w:p>
        </w:tc>
        <w:tc>
          <w:tcPr>
            <w:tcW w:w="2329" w:type="dxa"/>
            <w:vMerge w:val="restart"/>
            <w:tcBorders>
              <w:bottom w:val="nil"/>
            </w:tcBorders>
            <w:noWrap/>
            <w:vAlign w:val="center"/>
          </w:tcPr>
          <w:p>
            <w:pPr>
              <w:pStyle w:val="917"/>
              <w:spacing w:line="439" w:lineRule="auto"/>
              <w:jc w:val="center"/>
              <w:rPr>
                <w:rFonts w:ascii="Times New Roman" w:eastAsia="宋体" w:cs="Times New Roman" w:hAnsi="Times New Roman"/>
                <w:sz w:val="22"/>
                <w:szCs w:val="22"/>
                <w:lang w:bidi="ar-SA"/>
                <w:highlight w:val="auto"/>
              </w:rPr>
            </w:pPr>
          </w:p>
          <w:p>
            <w:pPr>
              <w:pStyle w:val="917"/>
              <w:spacing w:before="91" w:line="204" w:lineRule="auto"/>
              <w:ind w:left="227" w:right="230" w:firstLine="33"/>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6"/>
                <w:sz w:val="22"/>
                <w:szCs w:val="22"/>
                <w:lang w:bidi="ar-SA"/>
                <w:highlight w:val="auto"/>
              </w:rPr>
              <w:t>因公出国</w:t>
            </w:r>
            <w:r>
              <w:rPr>
                <w:rFonts w:ascii="Times New Roman" w:eastAsia="宋体" w:cs="Times New Roman" w:hAnsi="Times New Roman"/>
                <w:spacing w:val="2"/>
                <w:w w:val="101"/>
                <w:sz w:val="22"/>
                <w:szCs w:val="22"/>
                <w:lang w:bidi="ar-SA"/>
                <w:highlight w:val="auto"/>
              </w:rPr>
              <w:t xml:space="preserve"> </w:t>
            </w:r>
            <w:r>
              <w:rPr>
                <w:rFonts w:ascii="Times New Roman" w:eastAsia="宋体" w:cs="Times New Roman" w:hAnsi="Times New Roman"/>
                <w:spacing w:val="2"/>
                <w:sz w:val="22"/>
                <w:szCs w:val="22"/>
                <w:lang w:bidi="ar-SA"/>
                <w:highlight w:val="auto"/>
              </w:rPr>
              <w:t>（境）费</w:t>
            </w:r>
          </w:p>
        </w:tc>
        <w:tc>
          <w:tcPr>
            <w:tcW w:w="6649" w:type="dxa"/>
            <w:gridSpan w:val="3"/>
            <w:tcBorders>
              <w:left w:val="single" w:sz="4" w:space="0" w:color="000000"/>
              <w:right w:val="single" w:sz="4" w:space="0" w:color="000000"/>
            </w:tcBorders>
            <w:noWrap/>
            <w:vAlign w:val="center"/>
          </w:tcPr>
          <w:p>
            <w:pPr>
              <w:pStyle w:val="917"/>
              <w:spacing w:before="312" w:line="180" w:lineRule="auto"/>
              <w:ind w:firstLine="809"/>
              <w:jc w:val="center"/>
              <w:rPr>
                <w:rFonts w:ascii="Times New Roman" w:eastAsia="宋体" w:cs="Times New Roman" w:hAnsi="Times New Roman"/>
                <w:sz w:val="22"/>
                <w:szCs w:val="22"/>
                <w:lang w:bidi="ar-SA"/>
                <w:highlight w:val="auto"/>
              </w:rPr>
            </w:pPr>
            <w:r>
              <w:rPr>
                <w:rFonts w:ascii="Times New Roman" w:eastAsia="宋体" w:cs="Times New Roman" w:hAnsi="Times New Roman"/>
                <w:sz w:val="22"/>
                <w:szCs w:val="22"/>
                <w:lang w:bidi="ar-SA"/>
                <w:highlight w:val="auto"/>
              </w:rPr>
              <w:t>公务用车购置及运行费</w:t>
            </w:r>
          </w:p>
        </w:tc>
        <w:tc>
          <w:tcPr>
            <w:tcW w:w="2139" w:type="dxa"/>
            <w:vMerge w:val="restart"/>
            <w:tcBorders>
              <w:bottom w:val="nil"/>
            </w:tcBorders>
            <w:noWrap/>
            <w:vAlign w:val="center"/>
          </w:tcPr>
          <w:p>
            <w:pPr>
              <w:pStyle w:val="917"/>
              <w:spacing w:line="295" w:lineRule="auto"/>
              <w:jc w:val="center"/>
              <w:rPr>
                <w:rFonts w:ascii="Times New Roman" w:eastAsia="宋体" w:cs="Times New Roman" w:hAnsi="Times New Roman"/>
                <w:sz w:val="22"/>
                <w:szCs w:val="22"/>
                <w:lang w:bidi="ar-SA"/>
                <w:highlight w:val="auto"/>
              </w:rPr>
            </w:pPr>
          </w:p>
          <w:p>
            <w:pPr>
              <w:pStyle w:val="917"/>
              <w:spacing w:line="295" w:lineRule="auto"/>
              <w:jc w:val="center"/>
              <w:rPr>
                <w:rFonts w:ascii="Times New Roman" w:eastAsia="宋体" w:cs="Times New Roman" w:hAnsi="Times New Roman"/>
                <w:sz w:val="22"/>
                <w:szCs w:val="22"/>
                <w:lang w:bidi="ar-SA"/>
                <w:highlight w:val="auto"/>
              </w:rPr>
            </w:pPr>
          </w:p>
          <w:p>
            <w:pPr>
              <w:pStyle w:val="917"/>
              <w:spacing w:before="90" w:line="180" w:lineRule="auto"/>
              <w:ind w:firstLine="196"/>
              <w:jc w:val="center"/>
              <w:rPr>
                <w:rFonts w:ascii="Times New Roman" w:eastAsia="宋体" w:cs="Times New Roman" w:hAnsi="Times New Roman"/>
                <w:sz w:val="22"/>
                <w:szCs w:val="22"/>
                <w:lang w:bidi="ar-SA"/>
                <w:highlight w:val="auto"/>
              </w:rPr>
            </w:pPr>
            <w:r>
              <w:rPr>
                <w:rFonts w:ascii="Times New Roman" w:eastAsia="宋体" w:cs="Times New Roman" w:hAnsi="Times New Roman"/>
                <w:sz w:val="22"/>
                <w:szCs w:val="22"/>
                <w:lang w:bidi="ar-SA"/>
                <w:highlight w:val="auto"/>
              </w:rPr>
              <w:t>公务接待费</w:t>
            </w:r>
          </w:p>
        </w:tc>
      </w:tr>
      <w:tr>
        <w:trPr>
          <w:trHeight w:val="737"/>
        </w:trPr>
        <w:tc>
          <w:tcPr>
            <w:tcW w:w="2176" w:type="dxa"/>
            <w:vMerge/>
            <w:tcBorders>
              <w:top w:val="nil"/>
            </w:tcBorders>
            <w:noWrap/>
            <w:vAlign w:val="center"/>
          </w:tcPr>
          <w:p/>
        </w:tc>
        <w:tc>
          <w:tcPr>
            <w:tcW w:w="2329" w:type="dxa"/>
            <w:vMerge/>
            <w:tcBorders>
              <w:top w:val="nil"/>
            </w:tcBorders>
            <w:noWrap/>
            <w:vAlign w:val="center"/>
          </w:tcPr>
          <w:p/>
        </w:tc>
        <w:tc>
          <w:tcPr>
            <w:tcW w:w="1822" w:type="dxa"/>
            <w:tcBorders>
              <w:left w:val="single" w:sz="4" w:space="0" w:color="000000"/>
              <w:right w:val="single" w:sz="4" w:space="0" w:color="000000"/>
            </w:tcBorders>
            <w:noWrap/>
            <w:vAlign w:val="center"/>
          </w:tcPr>
          <w:p>
            <w:pPr>
              <w:pStyle w:val="917"/>
              <w:spacing w:before="246" w:line="180" w:lineRule="auto"/>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2"/>
                <w:sz w:val="22"/>
                <w:szCs w:val="22"/>
                <w:lang w:bidi="ar-SA"/>
                <w:highlight w:val="auto"/>
              </w:rPr>
              <w:t>小计</w:t>
            </w:r>
          </w:p>
        </w:tc>
        <w:tc>
          <w:tcPr>
            <w:tcW w:w="2100" w:type="dxa"/>
            <w:tcBorders>
              <w:left w:val="single" w:sz="4" w:space="0" w:color="000000"/>
              <w:right w:val="single" w:sz="4" w:space="0" w:color="000000"/>
            </w:tcBorders>
            <w:noWrap/>
            <w:vAlign w:val="center"/>
          </w:tcPr>
          <w:p>
            <w:pPr>
              <w:pStyle w:val="917"/>
              <w:spacing w:before="92" w:line="204" w:lineRule="auto"/>
              <w:ind w:left="345" w:right="229" w:hanging="105"/>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1"/>
                <w:sz w:val="22"/>
                <w:szCs w:val="22"/>
                <w:lang w:bidi="ar-SA"/>
                <w:highlight w:val="auto"/>
              </w:rPr>
              <w:t>公务用车购置费</w:t>
            </w:r>
          </w:p>
        </w:tc>
        <w:tc>
          <w:tcPr>
            <w:tcW w:w="2727" w:type="dxa"/>
            <w:tcBorders>
              <w:left w:val="single" w:sz="4" w:space="0" w:color="000000"/>
              <w:right w:val="single" w:sz="4" w:space="0" w:color="000000"/>
            </w:tcBorders>
            <w:noWrap/>
            <w:vAlign w:val="center"/>
          </w:tcPr>
          <w:p>
            <w:pPr>
              <w:pStyle w:val="917"/>
              <w:spacing w:before="92" w:line="204" w:lineRule="auto"/>
              <w:ind w:left="349" w:right="228" w:hanging="108"/>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1"/>
                <w:sz w:val="22"/>
                <w:szCs w:val="22"/>
                <w:lang w:bidi="ar-SA"/>
                <w:highlight w:val="auto"/>
              </w:rPr>
              <w:t>公务用车</w:t>
            </w:r>
            <w:r>
              <w:rPr>
                <w:rFonts w:ascii="Times New Roman" w:eastAsia="宋体" w:cs="Times New Roman" w:hAnsi="Times New Roman"/>
                <w:spacing w:val="-2"/>
                <w:sz w:val="22"/>
                <w:szCs w:val="22"/>
                <w:lang w:bidi="ar-SA"/>
                <w:highlight w:val="auto"/>
              </w:rPr>
              <w:t>运行费</w:t>
            </w:r>
          </w:p>
        </w:tc>
        <w:tc>
          <w:tcPr>
            <w:tcW w:w="2139" w:type="dxa"/>
            <w:vMerge/>
            <w:tcBorders>
              <w:top w:val="nil"/>
            </w:tcBorders>
            <w:noWrap/>
            <w:vAlign w:val="center"/>
          </w:tcPr>
          <w:p/>
        </w:tc>
      </w:tr>
      <w:tr>
        <w:trPr>
          <w:trHeight w:val="1345"/>
        </w:trPr>
        <w:tc>
          <w:tcPr>
            <w:tcW w:w="2176"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2"/>
                <w:szCs w:val="22"/>
                <w:lang w:bidi="ar-SA"/>
                <w:highlight w:val="auto"/>
              </w:rPr>
            </w:pPr>
          </w:p>
        </w:tc>
        <w:tc>
          <w:tcPr>
            <w:tcW w:w="232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2"/>
                <w:szCs w:val="22"/>
                <w:lang w:bidi="ar-SA"/>
                <w:highlight w:val="auto"/>
              </w:rPr>
            </w:pPr>
          </w:p>
        </w:tc>
        <w:tc>
          <w:tcPr>
            <w:tcW w:w="1822"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2"/>
                <w:szCs w:val="22"/>
                <w:lang w:bidi="ar-SA"/>
                <w:highlight w:val="auto"/>
              </w:rPr>
            </w:pPr>
          </w:p>
        </w:tc>
        <w:tc>
          <w:tcPr>
            <w:tcW w:w="2100"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2"/>
                <w:szCs w:val="22"/>
                <w:lang w:bidi="ar-SA"/>
                <w:highlight w:val="auto"/>
              </w:rPr>
            </w:pPr>
          </w:p>
        </w:tc>
        <w:tc>
          <w:tcPr>
            <w:tcW w:w="2727"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2"/>
                <w:szCs w:val="22"/>
                <w:lang w:bidi="ar-SA"/>
                <w:highlight w:val="auto"/>
              </w:rPr>
            </w:pPr>
          </w:p>
        </w:tc>
        <w:tc>
          <w:tcPr>
            <w:tcW w:w="2139" w:type="dxa"/>
            <w:tcBorders>
              <w:left w:val="single" w:sz="4" w:space="0" w:color="000000"/>
              <w:right w:val="single" w:sz="4" w:space="0" w:color="000000"/>
            </w:tcBorders>
            <w:noWrap/>
            <w:vAlign w:val="center"/>
          </w:tcPr>
          <w:p>
            <w:pPr>
              <w:keepNext w:val="0"/>
              <w:keepLines w:val="0"/>
              <w:widowControl/>
              <w:suppressLineNumbers w:val="0"/>
              <w:jc w:val="right"/>
              <w:textAlignment w:val="center"/>
              <w:rPr>
                <w:rFonts w:ascii="Times New Roman" w:eastAsia="宋体" w:cs="Times New Roman" w:hAnsi="Times New Roman"/>
                <w:sz w:val="22"/>
                <w:szCs w:val="22"/>
                <w:lang w:bidi="ar-SA"/>
                <w:highlight w:val="auto"/>
              </w:rPr>
            </w:pPr>
          </w:p>
        </w:tc>
      </w:tr>
    </w:tbl>
    <w:p>
      <w:pPr>
        <w:pStyle w:val="916"/>
        <w:spacing w:before="94" w:line="180" w:lineRule="auto"/>
        <w:ind w:firstLineChars="663" w:firstLine="1591"/>
        <w:rPr>
          <w:rFonts w:ascii="方正仿宋_GBK" w:eastAsia="方正仿宋_GBK" w:cs="方正仿宋_GBK" w:hint="eastAsia"/>
          <w:sz w:val="24"/>
          <w:szCs w:val="24"/>
          <w:lang w:bidi="ar-SA"/>
          <w:highlight w:val="auto"/>
        </w:rPr>
        <w:sectPr>
          <w:pgSz w:w="16841" w:h="11907" w:orient="landscape"/>
          <w:pgMar w:top="1431" w:right="638" w:bottom="0" w:left="451" w:header="0" w:footer="0" w:gutter="0"/>
          <w:docGrid w:linePitch="285" w:charSpace="0"/>
        </w:sectPr>
      </w:pPr>
    </w:p>
    <w:p>
      <w:pPr>
        <w:pStyle w:val="914"/>
        <w:rPr>
          <w:rFonts w:ascii="Times New Roman" w:eastAsia="宋体" w:hAnsi="Times New Roman"/>
          <w:highlight w:val="auto"/>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highlight w:val="auto"/>
        </w:rPr>
      </w:pPr>
    </w:p>
    <w:p>
      <w:pPr>
        <w:rPr>
          <w:b/>
          <w:sz w:val="44"/>
          <w:szCs w:val="44"/>
          <w:highlight w:val="auto"/>
        </w:rPr>
      </w:pPr>
    </w:p>
    <w:p>
      <w:pPr>
        <w:jc w:val="center"/>
        <w:rPr>
          <w:b/>
          <w:sz w:val="84"/>
          <w:szCs w:val="84"/>
          <w:highlight w:val="auto"/>
        </w:rPr>
      </w:pPr>
      <w:r>
        <w:rPr>
          <w:rFonts w:hint="eastAsia"/>
          <w:b/>
          <w:sz w:val="84"/>
          <w:szCs w:val="84"/>
          <w:highlight w:val="auto"/>
        </w:rPr>
        <w:t>第三部分</w:t>
      </w:r>
      <w:r>
        <w:rPr>
          <w:b/>
          <w:sz w:val="84"/>
          <w:szCs w:val="84"/>
          <w:highlight w:val="auto"/>
        </w:rPr>
        <w:t xml:space="preserve">  </w:t>
      </w:r>
    </w:p>
    <w:p>
      <w:pPr>
        <w:jc w:val="center"/>
        <w:rPr>
          <w:rFonts w:ascii="Times New Roman" w:hAnsi="Times New Roman"/>
          <w:b/>
          <w:sz w:val="80"/>
          <w:szCs w:val="80"/>
        </w:rPr>
      </w:pPr>
      <w:r>
        <w:rPr>
          <w:rFonts w:ascii="Times New Roman" w:hAnsi="Times New Roman" w:hint="eastAsia"/>
          <w:b/>
          <w:sz w:val="80"/>
          <w:szCs w:val="80"/>
        </w:rPr>
        <w:t>海关总署乌鲁木齐教育培训基地</w:t>
      </w:r>
      <w:r>
        <w:rPr>
          <w:rFonts w:ascii="Times New Roman" w:hAnsi="Times New Roman"/>
          <w:b/>
          <w:sz w:val="80"/>
          <w:szCs w:val="80"/>
        </w:rPr>
        <w:t>2025</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预算情况说明</w:t>
      </w:r>
    </w:p>
    <w:p>
      <w:pPr>
        <w:pStyle w:val="918"/>
        <w:spacing w:line="560" w:lineRule="exact"/>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jc w:val="left"/>
        <w:rPr>
          <w:rFonts w:eastAsia="方正仿宋_GBK"/>
          <w:sz w:val="32"/>
          <w:szCs w:val="32"/>
          <w:highlight w:val="auto"/>
        </w:rPr>
      </w:pPr>
    </w:p>
    <w:p>
      <w:pPr>
        <w:pStyle w:val="918"/>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br w:type="page"/>
      </w:r>
      <w:r>
        <w:rPr>
          <w:rFonts w:eastAsia="方正黑体_GBK"/>
          <w:sz w:val="32"/>
          <w:szCs w:val="32"/>
          <w:highlight w:val="auto"/>
        </w:rPr>
        <w:t>一、关于海关</w:t>
      </w:r>
      <w:r>
        <w:rPr>
          <w:rFonts w:eastAsia="方正黑体_GBK" w:hint="eastAsia"/>
          <w:sz w:val="32"/>
          <w:szCs w:val="32"/>
          <w:lang w:eastAsia="zh-CN"/>
          <w:highlight w:val="auto"/>
        </w:rPr>
        <w:t>总署乌鲁木齐教育培训基地</w:t>
      </w:r>
      <w:r>
        <w:rPr>
          <w:rFonts w:eastAsia="方正黑体_GBK"/>
          <w:sz w:val="32"/>
          <w:szCs w:val="32"/>
          <w:highlight w:val="auto"/>
        </w:rPr>
        <w:t>202</w:t>
      </w:r>
      <w:r>
        <w:rPr>
          <w:rFonts w:eastAsia="方正黑体_GBK"/>
          <w:sz w:val="32"/>
          <w:szCs w:val="32"/>
          <w:lang w:val="en-US" w:eastAsia="zh-CN"/>
          <w:highlight w:val="auto"/>
        </w:rPr>
        <w:t>5</w:t>
      </w:r>
      <w:r>
        <w:rPr>
          <w:rFonts w:eastAsia="方正黑体_GBK"/>
          <w:sz w:val="32"/>
          <w:szCs w:val="32"/>
          <w:highlight w:val="auto"/>
        </w:rPr>
        <w:t>年收支预算情况的总体说明</w:t>
      </w:r>
    </w:p>
    <w:p>
      <w:pPr>
        <w:pStyle w:val="918"/>
        <w:spacing w:line="560" w:lineRule="exact"/>
        <w:ind w:firstLineChars="200" w:firstLine="640"/>
        <w:rPr>
          <w:rFonts w:eastAsia="方正仿宋_GBK"/>
          <w:sz w:val="32"/>
          <w:szCs w:val="32"/>
        </w:rPr>
      </w:pPr>
      <w:r>
        <w:rPr>
          <w:rFonts w:eastAsia="方正仿宋_GBK"/>
          <w:sz w:val="32"/>
          <w:szCs w:val="32"/>
        </w:rPr>
        <w:t>按照综合预算的原则，海关</w:t>
      </w:r>
      <w:r>
        <w:rPr>
          <w:rFonts w:eastAsia="方正仿宋_GBK" w:hint="eastAsia"/>
          <w:sz w:val="32"/>
          <w:szCs w:val="32"/>
        </w:rPr>
        <w:t>总署乌鲁木齐教育培训基地</w:t>
      </w:r>
      <w:r>
        <w:rPr>
          <w:rFonts w:eastAsia="方正仿宋_GBK"/>
          <w:sz w:val="32"/>
          <w:szCs w:val="32"/>
        </w:rPr>
        <w:t>所有收入和支出均纳入部门预算管理。收入包括：一般公共预算拨款收入、事业收入、事业单位经营收入、其他收入、使用非财政拨款结余、上年结转；支出包括：一般公共服务支出、外交支出、公共安全支出、教育支出、社会保障和就业支出、卫生健康支出、住房保障支出。海关</w:t>
      </w:r>
      <w:r>
        <w:rPr>
          <w:rFonts w:eastAsia="方正仿宋_GBK" w:hint="eastAsia"/>
          <w:sz w:val="32"/>
          <w:szCs w:val="32"/>
        </w:rPr>
        <w:t>总署乌鲁木齐教育培训基地</w:t>
      </w:r>
      <w:r>
        <w:rPr>
          <w:rFonts w:eastAsia="方正仿宋_GBK"/>
          <w:sz w:val="32"/>
          <w:szCs w:val="32"/>
        </w:rPr>
        <w:t>202</w:t>
      </w:r>
      <w:r>
        <w:rPr>
          <w:rFonts w:eastAsia="方正仿宋_GBK"/>
          <w:sz w:val="32"/>
          <w:szCs w:val="32"/>
          <w:lang w:val="en-US" w:eastAsia="zh-CN"/>
        </w:rPr>
        <w:t>5</w:t>
      </w:r>
      <w:r>
        <w:rPr>
          <w:rFonts w:eastAsia="方正仿宋_GBK"/>
          <w:sz w:val="32"/>
          <w:szCs w:val="32"/>
        </w:rPr>
        <w:t>年收支总预算3,000.00万元。</w:t>
      </w:r>
    </w:p>
    <w:p>
      <w:pPr>
        <w:pStyle w:val="918"/>
        <w:spacing w:line="560" w:lineRule="exact"/>
        <w:ind w:firstLineChars="200" w:firstLine="640"/>
        <w:rPr>
          <w:rFonts w:eastAsia="方正黑体_GBK"/>
          <w:sz w:val="32"/>
          <w:szCs w:val="32"/>
          <w:highlight w:val="auto"/>
        </w:rPr>
      </w:pPr>
      <w:r>
        <w:rPr>
          <w:rFonts w:eastAsia="方正黑体_GBK"/>
          <w:sz w:val="32"/>
          <w:szCs w:val="32"/>
          <w:highlight w:val="auto"/>
        </w:rPr>
        <w:t>二、关于海关</w:t>
      </w:r>
      <w:r>
        <w:rPr>
          <w:rFonts w:eastAsia="方正黑体_GBK" w:hint="eastAsia"/>
          <w:sz w:val="32"/>
          <w:szCs w:val="32"/>
          <w:lang w:eastAsia="zh-CN"/>
          <w:highlight w:val="auto"/>
        </w:rPr>
        <w:t>总署乌鲁木齐教育培训基地</w:t>
      </w:r>
      <w:r>
        <w:rPr>
          <w:rFonts w:eastAsia="方正黑体_GBK"/>
          <w:sz w:val="32"/>
          <w:szCs w:val="32"/>
          <w:highlight w:val="auto"/>
        </w:rPr>
        <w:t>202</w:t>
      </w:r>
      <w:r>
        <w:rPr>
          <w:rFonts w:eastAsia="方正黑体_GBK"/>
          <w:sz w:val="32"/>
          <w:szCs w:val="32"/>
          <w:lang w:val="en-US" w:eastAsia="zh-CN"/>
          <w:highlight w:val="auto"/>
        </w:rPr>
        <w:t>5</w:t>
      </w:r>
      <w:r>
        <w:rPr>
          <w:rFonts w:eastAsia="方正黑体_GBK"/>
          <w:sz w:val="32"/>
          <w:szCs w:val="32"/>
          <w:highlight w:val="auto"/>
        </w:rPr>
        <w:t>年收入预算情况说明</w:t>
      </w:r>
    </w:p>
    <w:p>
      <w:pPr>
        <w:pStyle w:val="918"/>
        <w:spacing w:line="560" w:lineRule="exact"/>
        <w:ind w:firstLineChars="200" w:firstLine="640"/>
        <w:rPr>
          <w:rFonts w:eastAsia="方正仿宋_GBK"/>
          <w:sz w:val="32"/>
          <w:szCs w:val="32"/>
        </w:rPr>
      </w:pPr>
      <w:r>
        <w:rPr>
          <w:rFonts w:eastAsia="方正仿宋_GBK"/>
          <w:sz w:val="32"/>
          <w:szCs w:val="32"/>
        </w:rPr>
        <w:t>海关</w:t>
      </w:r>
      <w:r>
        <w:rPr>
          <w:rFonts w:eastAsia="方正仿宋_GBK" w:hint="eastAsia"/>
          <w:sz w:val="32"/>
          <w:szCs w:val="32"/>
          <w:lang w:eastAsia="zh-CN"/>
        </w:rPr>
        <w:t>总署乌鲁木齐教育培训基地</w:t>
      </w:r>
      <w:r>
        <w:rPr>
          <w:rFonts w:eastAsia="方正仿宋_GBK"/>
          <w:sz w:val="32"/>
          <w:szCs w:val="32"/>
        </w:rPr>
        <w:t>202</w:t>
      </w:r>
      <w:r>
        <w:rPr>
          <w:rFonts w:eastAsia="方正仿宋_GBK"/>
          <w:sz w:val="32"/>
          <w:szCs w:val="32"/>
          <w:lang w:val="en-US" w:eastAsia="zh-CN"/>
        </w:rPr>
        <w:t>5</w:t>
      </w:r>
      <w:r>
        <w:rPr>
          <w:rFonts w:eastAsia="方正仿宋_GBK"/>
          <w:sz w:val="32"/>
          <w:szCs w:val="32"/>
        </w:rPr>
        <w:t>年收入预算3,000.00万元，其中：事业收入</w:t>
      </w:r>
      <w:r>
        <w:rPr>
          <w:rFonts w:eastAsia="方正仿宋_GBK" w:hint="eastAsia"/>
          <w:sz w:val="32"/>
          <w:szCs w:val="32"/>
        </w:rPr>
        <w:t>1</w:t>
      </w:r>
      <w:r>
        <w:rPr>
          <w:rFonts w:eastAsia="方正仿宋_GBK"/>
          <w:sz w:val="32"/>
          <w:szCs w:val="32"/>
        </w:rPr>
        <w:t>,199.</w:t>
      </w:r>
      <w:r>
        <w:rPr>
          <w:rFonts w:eastAsia="方正仿宋_GBK" w:hint="eastAsia"/>
          <w:sz w:val="32"/>
          <w:szCs w:val="32"/>
        </w:rPr>
        <w:t>00</w:t>
      </w:r>
      <w:r>
        <w:rPr>
          <w:rFonts w:eastAsia="方正仿宋_GBK"/>
          <w:sz w:val="32"/>
          <w:szCs w:val="32"/>
        </w:rPr>
        <w:t>万元，占40%；事业单位经营收入1800.00万元，占60%；其他收入1万元，占0%。</w:t>
      </w:r>
    </w:p>
    <w:p>
      <w:pPr>
        <w:pStyle w:val="918"/>
        <w:spacing w:line="560" w:lineRule="exact"/>
        <w:ind w:firstLineChars="200" w:firstLine="640"/>
        <w:rPr>
          <w:rFonts w:eastAsia="方正仿宋_GBK"/>
          <w:sz w:val="32"/>
          <w:szCs w:val="32"/>
        </w:rPr>
      </w:pPr>
    </w:p>
    <w:p>
      <w:pPr>
        <w:pStyle w:val="918"/>
        <w:spacing w:line="560" w:lineRule="exact"/>
        <w:ind w:firstLineChars="200" w:firstLine="640"/>
        <w:rPr>
          <w:rFonts w:eastAsia="方正仿宋_GBK"/>
          <w:sz w:val="32"/>
          <w:szCs w:val="32"/>
        </w:rPr>
      </w:pPr>
    </w:p>
    <w:p>
      <w:pPr>
        <w:pStyle w:val="918"/>
        <w:spacing w:line="560" w:lineRule="exact"/>
        <w:ind w:firstLineChars="200" w:firstLine="640"/>
        <w:rPr>
          <w:rFonts w:eastAsia="方正仿宋_GBK"/>
          <w:sz w:val="32"/>
          <w:szCs w:val="32"/>
        </w:rPr>
      </w:pPr>
    </w:p>
    <w:p>
      <w:pPr>
        <w:pStyle w:val="918"/>
        <w:spacing w:line="560" w:lineRule="exact"/>
        <w:ind w:firstLineChars="200" w:firstLine="640"/>
        <w:rPr>
          <w:rFonts w:eastAsia="方正仿宋_GBK"/>
          <w:sz w:val="32"/>
          <w:szCs w:val="32"/>
        </w:rPr>
      </w:pPr>
    </w:p>
    <w:p>
      <w:pPr>
        <w:pStyle w:val="918"/>
        <w:spacing w:line="560" w:lineRule="exact"/>
        <w:ind w:firstLineChars="200" w:firstLine="640"/>
        <w:rPr>
          <w:rFonts w:eastAsia="方正仿宋_GBK"/>
          <w:sz w:val="32"/>
          <w:szCs w:val="32"/>
        </w:rPr>
      </w:pPr>
    </w:p>
    <w:p>
      <w:pPr>
        <w:pStyle w:val="918"/>
        <w:spacing w:line="560" w:lineRule="exact"/>
        <w:ind w:firstLineChars="200" w:firstLine="420"/>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21.0pt;margin-top:-114.49781pt;width:371.24435pt;height:142.49783pt;z-index:25;mso-position-horizontal:absolute;mso-position-vertical:absolute;mso-wrap-distance-left:8.999863pt;mso-wrap-distance-right:8.999863pt;" o:ole="">
            <v:stroke color="#000000"/>
            <v:imagedata r:id="rId6" o:title="14"/>
            <o:lock aspectratio="t"/>
            <w10:wrap type="square"/>
          </v:shape>
          <o:OLEObject Type="Embed" ProgID="Package" ShapeID="_x0000_i1" DrawAspect="Icon" ObjectID="_1393063351" r:id="rId7"/>
        </w:object>
      </w:r>
    </w:p>
    <w:p>
      <w:pPr>
        <w:pStyle w:val="918"/>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三、关于</w:t>
      </w:r>
      <w:r>
        <w:rPr>
          <w:rFonts w:eastAsia="方正黑体_GBK"/>
          <w:sz w:val="32"/>
          <w:szCs w:val="32"/>
          <w:highlight w:val="auto"/>
        </w:rPr>
        <w:t>海关</w:t>
      </w:r>
      <w:r>
        <w:rPr>
          <w:rFonts w:eastAsia="方正黑体_GBK" w:hint="eastAsia"/>
          <w:sz w:val="32"/>
          <w:szCs w:val="32"/>
          <w:lang w:eastAsia="zh-CN"/>
          <w:highlight w:val="auto"/>
        </w:rPr>
        <w:t>总署乌鲁木齐教育培训基地</w:t>
      </w:r>
      <w:r>
        <w:rPr>
          <w:rFonts w:eastAsia="方正黑体_GBK"/>
          <w:sz w:val="32"/>
          <w:szCs w:val="32"/>
          <w:highlight w:val="auto"/>
        </w:rPr>
        <w:t>202</w:t>
      </w:r>
      <w:r>
        <w:rPr>
          <w:rFonts w:eastAsia="方正黑体_GBK"/>
          <w:sz w:val="32"/>
          <w:szCs w:val="32"/>
          <w:lang w:val="en-US" w:eastAsia="zh-CN"/>
          <w:highlight w:val="auto"/>
        </w:rPr>
        <w:t>5</w:t>
      </w:r>
      <w:r>
        <w:rPr>
          <w:rFonts w:eastAsia="方正黑体_GBK" w:hint="eastAsia"/>
          <w:sz w:val="32"/>
          <w:szCs w:val="32"/>
          <w:highlight w:val="auto"/>
        </w:rPr>
        <w:t>年支出预算情况说明</w:t>
      </w:r>
    </w:p>
    <w:p>
      <w:pPr>
        <w:pStyle w:val="918"/>
        <w:spacing w:line="560" w:lineRule="exact"/>
        <w:ind w:firstLineChars="200" w:firstLine="640"/>
        <w:rPr>
          <w:rFonts w:eastAsia="方正仿宋_GBK"/>
          <w:sz w:val="32"/>
          <w:szCs w:val="32"/>
        </w:rPr>
      </w:pPr>
      <w:r>
        <w:rPr>
          <w:rFonts w:eastAsia="方正仿宋_GBK"/>
          <w:sz w:val="32"/>
          <w:szCs w:val="32"/>
        </w:rPr>
        <w:t>海关</w:t>
      </w:r>
      <w:r>
        <w:rPr>
          <w:rFonts w:eastAsia="方正仿宋_GBK" w:hint="eastAsia"/>
          <w:sz w:val="32"/>
          <w:szCs w:val="32"/>
        </w:rPr>
        <w:t>总署乌鲁木齐教育培训基地</w:t>
      </w:r>
      <w:r>
        <w:rPr>
          <w:rFonts w:eastAsia="方正仿宋_GBK"/>
          <w:sz w:val="32"/>
          <w:szCs w:val="32"/>
        </w:rPr>
        <w:t>202</w:t>
      </w:r>
      <w:r>
        <w:rPr>
          <w:rFonts w:eastAsia="方正仿宋_GBK"/>
          <w:sz w:val="32"/>
          <w:szCs w:val="32"/>
          <w:lang w:val="en-US" w:eastAsia="zh-CN"/>
        </w:rPr>
        <w:t>5</w:t>
      </w:r>
      <w:r>
        <w:rPr>
          <w:rFonts w:eastAsia="方正仿宋_GBK" w:hint="eastAsia"/>
          <w:sz w:val="32"/>
          <w:szCs w:val="32"/>
        </w:rPr>
        <w:t>年支出预算</w:t>
      </w:r>
      <w:r>
        <w:rPr>
          <w:rFonts w:eastAsia="方正仿宋_GBK"/>
          <w:sz w:val="32"/>
          <w:szCs w:val="32"/>
        </w:rPr>
        <w:t>3,000</w:t>
      </w:r>
      <w:r>
        <w:rPr>
          <w:rFonts w:eastAsia="方正仿宋_GBK" w:hint="eastAsia"/>
          <w:sz w:val="32"/>
          <w:szCs w:val="32"/>
        </w:rPr>
        <w:t>.</w:t>
      </w:r>
      <w:r>
        <w:rPr>
          <w:rFonts w:eastAsia="方正仿宋_GBK"/>
          <w:sz w:val="32"/>
          <w:szCs w:val="32"/>
        </w:rPr>
        <w:t>00</w:t>
      </w:r>
      <w:r>
        <w:rPr>
          <w:rFonts w:eastAsia="方正仿宋_GBK" w:hint="eastAsia"/>
          <w:sz w:val="32"/>
          <w:szCs w:val="32"/>
        </w:rPr>
        <w:t>万元，</w:t>
      </w:r>
    </w:p>
    <w:p>
      <w:pPr>
        <w:pStyle w:val="918"/>
        <w:spacing w:line="560" w:lineRule="exact"/>
        <w:ind w:left="0"/>
        <w:rPr>
          <w:highlight w:val="auto"/>
        </w:rPr>
      </w:pPr>
      <w:r>
        <w:rPr>
          <w:rFonts w:eastAsia="方正仿宋_GBK" w:hint="eastAsia"/>
          <w:sz w:val="32"/>
          <w:szCs w:val="32"/>
        </w:rPr>
        <w:t>其中：基本支出</w:t>
      </w:r>
      <w:r>
        <w:rPr>
          <w:rFonts w:eastAsia="方正仿宋_GBK"/>
          <w:sz w:val="32"/>
          <w:szCs w:val="32"/>
        </w:rPr>
        <w:t>3</w:t>
      </w:r>
      <w:r>
        <w:rPr>
          <w:rFonts w:eastAsia="方正仿宋_GBK" w:hint="eastAsia"/>
          <w:sz w:val="32"/>
          <w:szCs w:val="32"/>
        </w:rPr>
        <w:t>,</w:t>
      </w:r>
      <w:r>
        <w:rPr>
          <w:rFonts w:eastAsia="方正仿宋_GBK"/>
          <w:sz w:val="32"/>
          <w:szCs w:val="32"/>
        </w:rPr>
        <w:t>000.00</w:t>
      </w:r>
      <w:r>
        <w:rPr>
          <w:rFonts w:eastAsia="方正仿宋_GBK" w:hint="eastAsia"/>
          <w:sz w:val="32"/>
          <w:szCs w:val="32"/>
        </w:rPr>
        <w:t>万元，占100</w:t>
      </w:r>
      <w:r>
        <w:rPr>
          <w:rFonts w:eastAsia="方正仿宋_GBK"/>
          <w:sz w:val="32"/>
          <w:szCs w:val="32"/>
        </w:rPr>
        <w:t>%</w:t>
      </w:r>
      <w:r>
        <w:rPr>
          <w:rFonts w:eastAsia="方正仿宋_GBK" w:hint="eastAsia"/>
          <w:sz w:val="32"/>
          <w:szCs w:val="32"/>
        </w:rPr>
        <w:t>。</w:t>
      </w:r>
    </w:p>
    <w:p>
      <w:pPr>
        <w:pStyle w:val="919"/>
        <w:spacing w:line="560" w:lineRule="exact"/>
        <w:ind w:firstLine="644"/>
        <w:jc w:val="left"/>
        <w:rPr>
          <w:highlight w:val="auto"/>
        </w:rPr>
      </w:pPr>
    </w:p>
    <w:p>
      <w:pPr>
        <w:pStyle w:val="919"/>
        <w:spacing w:line="560" w:lineRule="exact"/>
        <w:ind w:firstLine="644"/>
        <w:jc w:val="left"/>
        <w:rPr>
          <w:highlight w:val="auto"/>
        </w:rPr>
      </w:pPr>
    </w:p>
    <w:p>
      <w:pPr>
        <w:pStyle w:val="919"/>
        <w:spacing w:line="560" w:lineRule="exact"/>
        <w:ind w:firstLine="644"/>
        <w:jc w:val="left"/>
        <w:rPr>
          <w:highlight w:val="auto"/>
        </w:rPr>
      </w:pPr>
    </w:p>
    <w:p>
      <w:pPr>
        <w:pStyle w:val="919"/>
        <w:spacing w:line="560" w:lineRule="exact"/>
        <w:ind w:firstLine="644"/>
        <w:jc w:val="left"/>
        <w:rPr>
          <w:highlight w:val="auto"/>
        </w:rPr>
      </w:pPr>
    </w:p>
    <w:p>
      <w:pPr>
        <w:pStyle w:val="919"/>
        <w:spacing w:line="560" w:lineRule="exact"/>
        <w:ind w:firstLine="644"/>
        <w:jc w:val="left"/>
        <w:rPr>
          <w:highlight w:val="auto"/>
        </w:rPr>
      </w:pPr>
    </w:p>
    <w:p>
      <w:pPr>
        <w:pStyle w:val="919"/>
        <w:spacing w:line="560" w:lineRule="exact"/>
        <w:ind w:firstLine="644"/>
        <w:jc w:val="left"/>
        <w:rPr>
          <w:highlight w:val="auto"/>
        </w:rPr>
      </w:pPr>
    </w:p>
    <w:p>
      <w:pPr>
        <w:pStyle w:val="1015"/>
        <w:spacing w:line="560" w:lineRule="exact"/>
        <w:ind w:firstLineChars="200" w:firstLine="420"/>
      </w:pPr>
      <w:r>
        <w:object>
          <v:shape id="_x0000_i2" type="#_x0000_t75" filled="f" stroked="f" style="position:absolute;margin-left:21.0pt;margin-top:-114.49783pt;width:370.49435pt;height:142.49783pt;z-index:27;mso-position-horizontal:absolute;mso-position-vertical:absolute;mso-wrap-distance-left:8.999863pt;mso-wrap-distance-right:8.999863pt;" o:ole="">
            <v:stroke color="#000000"/>
            <v:imagedata r:id="rId8" o:title="16"/>
            <o:lock aspectratio="t"/>
            <w10:wrap type="square"/>
          </v:shape>
          <o:OLEObject Type="Embed" ProgID="Package" ShapeID="_x0000_i2" DrawAspect="Icon" ObjectID="_1393063352" r:id="rId9"/>
        </w:object>
      </w:r>
    </w:p>
    <w:p>
      <w:pPr>
        <w:pStyle w:val="918"/>
        <w:spacing w:line="560" w:lineRule="exact"/>
        <w:ind w:left="0" w:firstLineChars="200" w:firstLine="640"/>
        <w:rPr>
          <w:rFonts w:eastAsia="方正黑体_GBK" w:hint="eastAsia"/>
          <w:sz w:val="32"/>
          <w:szCs w:val="32"/>
          <w:highlight w:val="auto"/>
        </w:rPr>
      </w:pPr>
      <w:r>
        <w:rPr>
          <w:rFonts w:eastAsia="方正黑体_GBK" w:hint="eastAsia"/>
          <w:sz w:val="32"/>
          <w:szCs w:val="32"/>
          <w:highlight w:val="auto"/>
        </w:rPr>
        <w:t>四、关于海关</w:t>
      </w:r>
      <w:r>
        <w:rPr>
          <w:rFonts w:eastAsia="方正黑体_GBK" w:hint="eastAsia"/>
          <w:sz w:val="32"/>
          <w:szCs w:val="32"/>
          <w:lang w:eastAsia="zh-CN"/>
          <w:highlight w:val="auto"/>
        </w:rPr>
        <w:t>总署乌鲁木齐教育培训基地</w:t>
      </w:r>
      <w:r>
        <w:rPr>
          <w:rFonts w:eastAsia="方正黑体_GBK" w:hint="eastAsia"/>
          <w:sz w:val="32"/>
          <w:szCs w:val="32"/>
          <w:highlight w:val="auto"/>
        </w:rPr>
        <w:t>202</w:t>
      </w:r>
      <w:r>
        <w:rPr>
          <w:rFonts w:eastAsia="方正黑体_GBK"/>
          <w:sz w:val="32"/>
          <w:szCs w:val="32"/>
          <w:lang w:val="en-US" w:eastAsia="zh-CN"/>
          <w:highlight w:val="auto"/>
        </w:rPr>
        <w:t>5</w:t>
      </w:r>
      <w:r>
        <w:rPr>
          <w:rFonts w:eastAsia="方正黑体_GBK" w:hint="eastAsia"/>
          <w:sz w:val="32"/>
          <w:szCs w:val="32"/>
          <w:highlight w:val="auto"/>
        </w:rPr>
        <w:t>年财政拨款收支预算情况的总体说明</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海关总署乌鲁木齐教育培训基地20</w:t>
      </w:r>
      <w:r>
        <w:rPr>
          <w:rFonts w:ascii="Times New Roman" w:eastAsia="方正仿宋_GBK" w:hAnsi="Times New Roman"/>
          <w:sz w:val="32"/>
          <w:szCs w:val="32"/>
        </w:rPr>
        <w:t>2</w:t>
      </w:r>
      <w:r>
        <w:rPr>
          <w:rFonts w:eastAsia="方正仿宋_GBK"/>
          <w:sz w:val="32"/>
          <w:szCs w:val="32"/>
          <w:lang w:val="en-US" w:eastAsia="zh-CN"/>
        </w:rPr>
        <w:t>5</w:t>
      </w:r>
      <w:r>
        <w:rPr>
          <w:rFonts w:ascii="Times New Roman" w:eastAsia="方正仿宋_GBK" w:hAnsi="Times New Roman" w:hint="eastAsia"/>
          <w:sz w:val="32"/>
          <w:szCs w:val="32"/>
        </w:rPr>
        <w:t>年无财政拨款。</w:t>
      </w:r>
    </w:p>
    <w:p>
      <w:pPr>
        <w:pStyle w:val="918"/>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五、关于海关</w:t>
      </w:r>
      <w:r>
        <w:rPr>
          <w:rFonts w:eastAsia="方正黑体_GBK" w:hint="eastAsia"/>
          <w:sz w:val="32"/>
          <w:szCs w:val="32"/>
          <w:lang w:eastAsia="zh-CN"/>
          <w:highlight w:val="auto"/>
        </w:rPr>
        <w:t>总署乌鲁木齐教育培训基地</w:t>
      </w:r>
      <w:r>
        <w:rPr>
          <w:rFonts w:eastAsia="方正黑体_GBK" w:hint="eastAsia"/>
          <w:sz w:val="32"/>
          <w:szCs w:val="32"/>
          <w:highlight w:val="auto"/>
        </w:rPr>
        <w:t>202</w:t>
      </w:r>
      <w:r>
        <w:rPr>
          <w:rFonts w:eastAsia="方正黑体_GBK"/>
          <w:sz w:val="32"/>
          <w:szCs w:val="32"/>
          <w:lang w:val="en-US" w:eastAsia="zh-CN"/>
          <w:highlight w:val="auto"/>
        </w:rPr>
        <w:t>5</w:t>
      </w:r>
      <w:r>
        <w:rPr>
          <w:rFonts w:eastAsia="方正黑体_GBK" w:hint="eastAsia"/>
          <w:sz w:val="32"/>
          <w:szCs w:val="32"/>
          <w:highlight w:val="auto"/>
        </w:rPr>
        <w:t>年一般公共预算当年财政拨款情况说明</w:t>
      </w:r>
    </w:p>
    <w:p>
      <w:pPr>
        <w:spacing w:line="560" w:lineRule="exact"/>
        <w:ind w:firstLineChars="200" w:firstLine="640"/>
        <w:jc w:val="left"/>
        <w:rPr>
          <w:rFonts w:hint="eastAsia"/>
          <w:sz w:val="32"/>
          <w:szCs w:val="32"/>
          <w:highlight w:val="auto"/>
        </w:rPr>
      </w:pPr>
      <w:r>
        <w:rPr>
          <w:rFonts w:ascii="Times New Roman" w:eastAsia="方正仿宋_GBK" w:hAnsi="Times New Roman" w:hint="eastAsia"/>
          <w:sz w:val="32"/>
          <w:szCs w:val="32"/>
        </w:rPr>
        <w:t>海关总署乌鲁木齐教育培训基地20</w:t>
      </w:r>
      <w:r>
        <w:rPr>
          <w:rFonts w:ascii="Times New Roman" w:eastAsia="方正仿宋_GBK" w:hAnsi="Times New Roman"/>
          <w:sz w:val="32"/>
          <w:szCs w:val="32"/>
        </w:rPr>
        <w:t>25</w:t>
      </w:r>
      <w:r>
        <w:rPr>
          <w:rFonts w:ascii="Times New Roman" w:eastAsia="方正仿宋_GBK" w:hAnsi="Times New Roman" w:hint="eastAsia"/>
          <w:sz w:val="32"/>
          <w:szCs w:val="32"/>
        </w:rPr>
        <w:t>年无财政拨款。</w:t>
      </w:r>
    </w:p>
    <w:p>
      <w:pPr>
        <w:pStyle w:val="918"/>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六、关于海关</w:t>
      </w:r>
      <w:r>
        <w:rPr>
          <w:rFonts w:eastAsia="方正黑体_GBK" w:hint="eastAsia"/>
          <w:sz w:val="32"/>
          <w:szCs w:val="32"/>
          <w:lang w:eastAsia="zh-CN"/>
          <w:highlight w:val="auto"/>
        </w:rPr>
        <w:t>总署乌鲁木齐教育培训基地202</w:t>
      </w:r>
      <w:r>
        <w:rPr>
          <w:rFonts w:eastAsia="方正黑体_GBK"/>
          <w:sz w:val="32"/>
          <w:szCs w:val="32"/>
          <w:lang w:eastAsia="zh-CN"/>
          <w:highlight w:val="auto"/>
        </w:rPr>
        <w:t>5</w:t>
      </w:r>
      <w:r>
        <w:rPr>
          <w:rFonts w:eastAsia="方正黑体_GBK" w:hint="eastAsia"/>
          <w:sz w:val="32"/>
          <w:szCs w:val="32"/>
          <w:lang w:eastAsia="zh-CN"/>
          <w:highlight w:val="auto"/>
        </w:rPr>
        <w:t>年</w:t>
      </w:r>
      <w:r>
        <w:rPr>
          <w:rFonts w:eastAsia="方正黑体_GBK" w:hint="eastAsia"/>
          <w:sz w:val="32"/>
          <w:szCs w:val="32"/>
          <w:highlight w:val="auto"/>
        </w:rPr>
        <w:t>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海关总署乌鲁木齐教育培训基地202</w:t>
      </w:r>
      <w:r>
        <w:rPr>
          <w:rFonts w:eastAsia="方正仿宋_GBK"/>
          <w:sz w:val="32"/>
          <w:szCs w:val="32"/>
          <w:lang w:val="en-US" w:eastAsia="zh-CN"/>
        </w:rPr>
        <w:t>5</w:t>
      </w:r>
      <w:r>
        <w:rPr>
          <w:rFonts w:ascii="Times New Roman" w:eastAsia="方正仿宋_GBK" w:hAnsi="Times New Roman" w:hint="eastAsia"/>
          <w:sz w:val="32"/>
          <w:szCs w:val="32"/>
        </w:rPr>
        <w:t>年一般公共预算基本支出</w:t>
      </w:r>
      <w:r>
        <w:rPr>
          <w:rFonts w:ascii="Times New Roman" w:eastAsia="方正仿宋_GBK" w:hAnsi="Times New Roman"/>
          <w:sz w:val="32"/>
          <w:szCs w:val="32"/>
        </w:rPr>
        <w:t>3,000</w:t>
      </w:r>
      <w:r>
        <w:rPr>
          <w:rFonts w:eastAsia="方正仿宋_GBK" w:hint="eastAsia"/>
          <w:sz w:val="32"/>
          <w:szCs w:val="32"/>
          <w:lang w:val="en-US" w:eastAsia="zh-CN"/>
        </w:rPr>
        <w:t>.</w:t>
      </w:r>
      <w:r>
        <w:rPr>
          <w:rFonts w:eastAsia="方正仿宋_GBK"/>
          <w:sz w:val="32"/>
          <w:szCs w:val="32"/>
          <w:lang w:val="en-US" w:eastAsia="zh-CN"/>
        </w:rPr>
        <w:t>00</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eastAsia="方正仿宋_GBK"/>
          <w:sz w:val="32"/>
          <w:szCs w:val="32"/>
          <w:lang w:val="en-US" w:eastAsia="zh-CN"/>
        </w:rPr>
        <w:t>1338.00</w:t>
      </w:r>
      <w:r>
        <w:rPr>
          <w:rFonts w:ascii="Times New Roman" w:eastAsia="方正仿宋_GBK" w:hAnsi="Times New Roman" w:hint="eastAsia"/>
          <w:sz w:val="32"/>
          <w:szCs w:val="32"/>
        </w:rPr>
        <w:t>万元，主要包括：基本工资、职工基本医疗保险缴费；</w:t>
      </w:r>
    </w:p>
    <w:p>
      <w:pPr>
        <w:spacing w:line="560" w:lineRule="exact"/>
        <w:ind w:firstLineChars="200" w:firstLine="640"/>
        <w:rPr>
          <w:rFonts w:ascii="Times New Roman" w:eastAsia="方正仿宋_GBK" w:hAnsi="Times New Roman"/>
          <w:sz w:val="32"/>
          <w:szCs w:val="32"/>
          <w:highlight w:val="auto"/>
        </w:rPr>
      </w:pPr>
      <w:r>
        <w:rPr>
          <w:rFonts w:ascii="Times New Roman" w:eastAsia="方正仿宋_GBK" w:hAnsi="Times New Roman" w:hint="eastAsia"/>
          <w:sz w:val="32"/>
          <w:szCs w:val="32"/>
        </w:rPr>
        <w:t>日常公用经费</w:t>
      </w:r>
      <w:r>
        <w:rPr>
          <w:rFonts w:eastAsia="方正仿宋_GBK"/>
          <w:sz w:val="32"/>
          <w:szCs w:val="32"/>
          <w:lang w:val="en-US" w:eastAsia="zh-CN"/>
        </w:rPr>
        <w:t>1662.00</w:t>
      </w:r>
      <w:r>
        <w:rPr>
          <w:rFonts w:ascii="Times New Roman" w:eastAsia="方正仿宋_GBK" w:hAnsi="Times New Roman" w:hint="eastAsia"/>
          <w:sz w:val="32"/>
          <w:szCs w:val="32"/>
        </w:rPr>
        <w:t>万元，主要包括：</w:t>
      </w:r>
      <w:r>
        <w:rPr>
          <w:rFonts w:ascii="Times New Roman" w:eastAsia="方正仿宋_GBK" w:hAnsi="Times New Roman" w:hint="eastAsia"/>
          <w:sz w:val="32"/>
          <w:szCs w:val="32"/>
          <w:highlight w:val="auto"/>
        </w:rPr>
        <w:t>办公费、手续费、</w:t>
      </w:r>
      <w:r>
        <w:rPr>
          <w:rFonts w:ascii="Times New Roman" w:eastAsia="方正仿宋_GBK" w:hAnsi="Times New Roman"/>
          <w:sz w:val="32"/>
          <w:szCs w:val="32"/>
          <w:highlight w:val="auto"/>
        </w:rPr>
        <w:t>水费、</w:t>
      </w:r>
      <w:r>
        <w:rPr>
          <w:rFonts w:ascii="Times New Roman" w:eastAsia="方正仿宋_GBK" w:hAnsi="Times New Roman" w:hint="eastAsia"/>
          <w:sz w:val="32"/>
          <w:szCs w:val="32"/>
          <w:highlight w:val="auto"/>
        </w:rPr>
        <w:t>电费、</w:t>
      </w:r>
      <w:r>
        <w:rPr>
          <w:rFonts w:ascii="Times New Roman" w:eastAsia="方正仿宋_GBK" w:hAnsi="Times New Roman"/>
          <w:sz w:val="32"/>
          <w:szCs w:val="32"/>
          <w:highlight w:val="auto"/>
        </w:rPr>
        <w:t>邮电费、印刷费、公务用车维护费、</w:t>
      </w:r>
      <w:r>
        <w:rPr>
          <w:rFonts w:ascii="Times New Roman" w:eastAsia="方正仿宋_GBK" w:hAnsi="Times New Roman" w:hint="eastAsia"/>
          <w:sz w:val="32"/>
          <w:szCs w:val="32"/>
          <w:highlight w:val="auto"/>
        </w:rPr>
        <w:t>取暖费、差旅费、维修（护）费、培训费、专用材料费、税金及附加费用、其他商品和服务支出、</w:t>
      </w:r>
      <w:r>
        <w:rPr>
          <w:rFonts w:ascii="Times New Roman" w:eastAsia="方正仿宋_GBK" w:hAnsi="Times New Roman"/>
          <w:sz w:val="32"/>
          <w:szCs w:val="32"/>
          <w:highlight w:val="auto"/>
        </w:rPr>
        <w:t>天然气费、福利费、</w:t>
      </w:r>
      <w:r>
        <w:rPr>
          <w:rFonts w:ascii="Times New Roman" w:eastAsia="方正仿宋_GBK" w:hAnsi="Times New Roman" w:hint="eastAsia"/>
          <w:sz w:val="32"/>
          <w:szCs w:val="32"/>
          <w:highlight w:val="auto"/>
        </w:rPr>
        <w:t>办公设备购置</w:t>
      </w:r>
      <w:r>
        <w:rPr>
          <w:rFonts w:ascii="Times New Roman" w:eastAsia="方正仿宋_GBK" w:hAnsi="Times New Roman"/>
          <w:sz w:val="32"/>
          <w:szCs w:val="32"/>
          <w:highlight w:val="auto"/>
        </w:rPr>
        <w:t>、其他商品和服务支出</w:t>
      </w:r>
      <w:r>
        <w:rPr>
          <w:rFonts w:eastAsia="方正仿宋_GBK" w:hint="eastAsia"/>
          <w:sz w:val="32"/>
          <w:szCs w:val="32"/>
          <w:lang w:eastAsia="zh-CN"/>
          <w:highlight w:val="auto"/>
        </w:rPr>
        <w:t>。</w:t>
      </w:r>
    </w:p>
    <w:p>
      <w:pPr>
        <w:pStyle w:val="918"/>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七、关于海关总署乌鲁木齐教育培训基地</w:t>
      </w:r>
      <w:r>
        <w:rPr>
          <w:rFonts w:eastAsia="方正黑体_GBK" w:hint="eastAsia"/>
          <w:sz w:val="32"/>
          <w:szCs w:val="32"/>
          <w:lang w:eastAsia="zh-CN"/>
          <w:highlight w:val="auto"/>
        </w:rPr>
        <w:t>202</w:t>
      </w:r>
      <w:r>
        <w:rPr>
          <w:rFonts w:eastAsia="方正黑体_GBK"/>
          <w:sz w:val="32"/>
          <w:szCs w:val="32"/>
          <w:lang w:eastAsia="zh-CN"/>
          <w:highlight w:val="auto"/>
        </w:rPr>
        <w:t>5</w:t>
      </w:r>
      <w:r>
        <w:rPr>
          <w:rFonts w:eastAsia="方正黑体_GBK" w:hint="eastAsia"/>
          <w:sz w:val="32"/>
          <w:szCs w:val="32"/>
          <w:lang w:eastAsia="zh-CN"/>
          <w:highlight w:val="auto"/>
        </w:rPr>
        <w:t>年</w:t>
      </w:r>
      <w:r>
        <w:rPr>
          <w:rFonts w:eastAsia="方正黑体_GBK" w:hint="eastAsia"/>
          <w:sz w:val="32"/>
          <w:szCs w:val="32"/>
          <w:highlight w:val="auto"/>
        </w:rPr>
        <w:t>“三公”经费预算情况说明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海关总署乌鲁木齐教育培训基地无“三公”经费预算。</w:t>
      </w:r>
    </w:p>
    <w:p>
      <w:pPr>
        <w:pStyle w:val="918"/>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八、关于海关总署乌鲁木齐教育培训基地</w:t>
      </w:r>
      <w:r>
        <w:rPr>
          <w:rFonts w:eastAsia="方正黑体_GBK" w:hint="eastAsia"/>
          <w:sz w:val="32"/>
          <w:szCs w:val="32"/>
          <w:lang w:eastAsia="zh-CN"/>
          <w:highlight w:val="auto"/>
        </w:rPr>
        <w:t>202</w:t>
      </w:r>
      <w:r>
        <w:rPr>
          <w:rFonts w:eastAsia="方正黑体_GBK"/>
          <w:sz w:val="32"/>
          <w:szCs w:val="32"/>
          <w:lang w:eastAsia="zh-CN"/>
          <w:highlight w:val="auto"/>
        </w:rPr>
        <w:t>5</w:t>
      </w:r>
      <w:r>
        <w:rPr>
          <w:rFonts w:eastAsia="方正黑体_GBK" w:hint="eastAsia"/>
          <w:sz w:val="32"/>
          <w:szCs w:val="32"/>
          <w:lang w:eastAsia="zh-CN"/>
          <w:highlight w:val="auto"/>
        </w:rPr>
        <w:t>年</w:t>
      </w:r>
      <w:r>
        <w:rPr>
          <w:rFonts w:eastAsia="方正黑体_GBK" w:hint="eastAsia"/>
          <w:sz w:val="32"/>
          <w:szCs w:val="32"/>
          <w:highlight w:val="auto"/>
        </w:rPr>
        <w:t>政府性基金预算收支情况说明</w:t>
      </w:r>
    </w:p>
    <w:p>
      <w:pPr>
        <w:spacing w:line="560" w:lineRule="exact"/>
        <w:ind w:firstLineChars="200" w:firstLine="640"/>
        <w:rPr>
          <w:sz w:val="32"/>
          <w:szCs w:val="32"/>
          <w:highlight w:val="auto"/>
        </w:rPr>
      </w:pPr>
      <w:r>
        <w:rPr>
          <w:rFonts w:ascii="Times New Roman" w:eastAsia="方正仿宋_GBK" w:hAnsi="Times New Roman" w:hint="eastAsia"/>
          <w:sz w:val="32"/>
          <w:szCs w:val="32"/>
        </w:rPr>
        <w:t>海关总署乌鲁木齐教育培训基地</w:t>
      </w:r>
      <w:r>
        <w:rPr>
          <w:rFonts w:eastAsia="方正仿宋_GBK" w:hint="eastAsia"/>
          <w:sz w:val="32"/>
          <w:szCs w:val="32"/>
          <w:lang w:eastAsia="zh-CN"/>
          <w:highlight w:val="auto"/>
        </w:rPr>
        <w:t>202</w:t>
      </w:r>
      <w:r>
        <w:rPr>
          <w:rFonts w:eastAsia="方正仿宋_GBK"/>
          <w:sz w:val="32"/>
          <w:szCs w:val="32"/>
          <w:lang w:eastAsia="zh-CN"/>
          <w:highlight w:val="auto"/>
        </w:rPr>
        <w:t>5</w:t>
      </w:r>
      <w:r>
        <w:rPr>
          <w:rFonts w:eastAsia="方正仿宋_GBK" w:hint="eastAsia"/>
          <w:sz w:val="32"/>
          <w:szCs w:val="32"/>
          <w:lang w:eastAsia="zh-CN"/>
          <w:highlight w:val="auto"/>
        </w:rPr>
        <w:t>年</w:t>
      </w:r>
      <w:r>
        <w:rPr>
          <w:rFonts w:eastAsia="方正仿宋_GBK" w:hint="eastAsia"/>
          <w:sz w:val="32"/>
          <w:szCs w:val="32"/>
          <w:highlight w:val="auto"/>
        </w:rPr>
        <w:t>无政府性基金预算收支。</w:t>
      </w:r>
    </w:p>
    <w:p>
      <w:pPr>
        <w:pStyle w:val="918"/>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九、关于海关总署乌鲁木齐教育培训基地</w:t>
      </w:r>
      <w:r>
        <w:rPr>
          <w:rFonts w:eastAsia="方正黑体_GBK" w:hint="eastAsia"/>
          <w:sz w:val="32"/>
          <w:szCs w:val="32"/>
          <w:lang w:eastAsia="zh-CN"/>
          <w:highlight w:val="auto"/>
        </w:rPr>
        <w:t>202</w:t>
      </w:r>
      <w:r>
        <w:rPr>
          <w:rFonts w:eastAsia="方正黑体_GBK"/>
          <w:sz w:val="32"/>
          <w:szCs w:val="32"/>
          <w:lang w:eastAsia="zh-CN"/>
          <w:highlight w:val="auto"/>
        </w:rPr>
        <w:t>5</w:t>
      </w:r>
      <w:r>
        <w:rPr>
          <w:rFonts w:eastAsia="方正黑体_GBK" w:hint="eastAsia"/>
          <w:sz w:val="32"/>
          <w:szCs w:val="32"/>
          <w:lang w:eastAsia="zh-CN"/>
          <w:highlight w:val="auto"/>
        </w:rPr>
        <w:t>年</w:t>
      </w:r>
      <w:r>
        <w:rPr>
          <w:rFonts w:eastAsia="方正黑体_GBK" w:hint="eastAsia"/>
          <w:sz w:val="32"/>
          <w:szCs w:val="32"/>
          <w:highlight w:val="auto"/>
        </w:rPr>
        <w:t>国有资本经营预算收支情况说明</w:t>
      </w:r>
    </w:p>
    <w:p>
      <w:pPr>
        <w:spacing w:line="560" w:lineRule="exact"/>
        <w:ind w:firstLineChars="200" w:firstLine="640"/>
        <w:rPr>
          <w:rFonts w:eastAsia="方正仿宋_GBK" w:hint="eastAsia"/>
          <w:sz w:val="32"/>
          <w:szCs w:val="32"/>
          <w:highlight w:val="auto"/>
        </w:rPr>
      </w:pPr>
      <w:r>
        <w:rPr>
          <w:rFonts w:ascii="Times New Roman" w:eastAsia="方正仿宋_GBK" w:hAnsi="Times New Roman" w:hint="eastAsia"/>
          <w:sz w:val="32"/>
          <w:szCs w:val="32"/>
        </w:rPr>
        <w:t>海关总署乌鲁木齐教育培训基地</w:t>
      </w:r>
      <w:r>
        <w:rPr>
          <w:rFonts w:eastAsia="方正仿宋_GBK" w:hint="eastAsia"/>
          <w:sz w:val="32"/>
          <w:szCs w:val="32"/>
          <w:lang w:eastAsia="zh-CN"/>
          <w:highlight w:val="auto"/>
        </w:rPr>
        <w:t>202</w:t>
      </w:r>
      <w:r>
        <w:rPr>
          <w:rFonts w:eastAsia="方正仿宋_GBK"/>
          <w:sz w:val="32"/>
          <w:szCs w:val="32"/>
          <w:lang w:eastAsia="zh-CN"/>
          <w:highlight w:val="auto"/>
        </w:rPr>
        <w:t>5</w:t>
      </w:r>
      <w:r>
        <w:rPr>
          <w:rFonts w:eastAsia="方正仿宋_GBK" w:hint="eastAsia"/>
          <w:sz w:val="32"/>
          <w:szCs w:val="32"/>
          <w:lang w:eastAsia="zh-CN"/>
          <w:highlight w:val="auto"/>
        </w:rPr>
        <w:t>年</w:t>
      </w:r>
      <w:r>
        <w:rPr>
          <w:rFonts w:eastAsia="方正仿宋_GBK" w:hint="eastAsia"/>
          <w:sz w:val="32"/>
          <w:szCs w:val="32"/>
          <w:highlight w:val="auto"/>
        </w:rPr>
        <w:t>无国有</w:t>
      </w:r>
      <w:r>
        <w:rPr>
          <w:rFonts w:eastAsia="方正仿宋_GBK"/>
          <w:sz w:val="32"/>
          <w:szCs w:val="32"/>
          <w:highlight w:val="auto"/>
        </w:rPr>
        <w:t>资本</w:t>
      </w:r>
      <w:r>
        <w:rPr>
          <w:rFonts w:eastAsia="方正仿宋_GBK" w:hint="eastAsia"/>
          <w:sz w:val="32"/>
          <w:szCs w:val="32"/>
          <w:highlight w:val="auto"/>
        </w:rPr>
        <w:t>经营预算收支。</w:t>
      </w:r>
    </w:p>
    <w:p>
      <w:pPr>
        <w:pStyle w:val="918"/>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十、其他重要事项情况说明</w:t>
      </w:r>
    </w:p>
    <w:p>
      <w:pPr>
        <w:adjustRightInd w:val="0"/>
        <w:snapToGrid w:val="0"/>
        <w:spacing w:line="560" w:lineRule="exact"/>
        <w:ind w:firstLineChars="200" w:firstLine="720"/>
        <w:rPr>
          <w:rFonts w:eastAsia="宋体" w:hint="eastAsia"/>
          <w:sz w:val="36"/>
          <w:szCs w:val="30"/>
          <w:lang w:eastAsia="zh-CN"/>
          <w:highlight w:val="auto"/>
        </w:rPr>
      </w:pPr>
      <w:r>
        <w:rPr>
          <w:rFonts w:hint="eastAsia"/>
          <w:sz w:val="36"/>
          <w:szCs w:val="30"/>
          <w:lang w:eastAsia="zh-CN"/>
          <w:highlight w:val="auto"/>
        </w:rPr>
        <w:t>无。</w:t>
      </w:r>
    </w:p>
    <w:p>
      <w:pP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rFonts w:hint="eastAsia"/>
          <w:b/>
          <w:sz w:val="32"/>
          <w:szCs w:val="32"/>
          <w:highlight w:val="auto"/>
        </w:rPr>
      </w:pPr>
    </w:p>
    <w:p>
      <w:pPr>
        <w:jc w:val="center"/>
        <w:rPr>
          <w:b/>
          <w:sz w:val="84"/>
          <w:szCs w:val="84"/>
          <w:highlight w:val="auto"/>
        </w:rPr>
      </w:pPr>
      <w:r>
        <w:rPr>
          <w:rFonts w:hint="eastAsia"/>
          <w:b/>
          <w:sz w:val="84"/>
          <w:szCs w:val="84"/>
          <w:highlight w:val="auto"/>
        </w:rPr>
        <w:t>第四部分</w:t>
      </w:r>
      <w:r>
        <w:rPr>
          <w:b/>
          <w:sz w:val="84"/>
          <w:szCs w:val="84"/>
          <w:highlight w:val="auto"/>
        </w:rPr>
        <w:t xml:space="preserve">  </w:t>
      </w:r>
    </w:p>
    <w:p>
      <w:pPr>
        <w:jc w:val="center"/>
        <w:rPr>
          <w:b/>
          <w:sz w:val="84"/>
          <w:szCs w:val="84"/>
          <w:highlight w:val="auto"/>
        </w:rPr>
      </w:pPr>
      <w:r>
        <w:rPr>
          <w:rFonts w:hint="eastAsia"/>
          <w:b/>
          <w:sz w:val="84"/>
          <w:szCs w:val="84"/>
          <w:highlight w:val="auto"/>
        </w:rPr>
        <w:t>名词解释</w:t>
      </w:r>
    </w:p>
    <w:p>
      <w:pPr>
        <w:rPr>
          <w:b/>
          <w:sz w:val="32"/>
          <w:szCs w:val="84"/>
          <w:highlight w:val="auto"/>
        </w:rPr>
      </w:pPr>
      <w:r>
        <w:rPr>
          <w:b/>
          <w:sz w:val="84"/>
          <w:szCs w:val="84"/>
          <w:highlight w:val="auto"/>
        </w:rPr>
        <w:br w:type="page"/>
      </w:r>
    </w:p>
    <w:p>
      <w:pPr>
        <w:spacing w:line="560" w:lineRule="exact"/>
        <w:ind w:firstLineChars="200" w:firstLine="640"/>
        <w:rPr>
          <w:rFonts w:eastAsia="方正仿宋_GBK" w:hint="eastAsia"/>
          <w:sz w:val="32"/>
          <w:szCs w:val="32"/>
          <w:highlight w:val="auto"/>
        </w:rPr>
      </w:pPr>
      <w:r>
        <w:rPr>
          <w:rFonts w:eastAsia="方正仿宋_GBK"/>
          <w:b/>
          <w:bCs/>
          <w:sz w:val="32"/>
          <w:szCs w:val="32"/>
          <w:highlight w:val="auto"/>
        </w:rPr>
        <w:t>一</w:t>
      </w:r>
      <w:r>
        <w:rPr>
          <w:rFonts w:eastAsia="方正仿宋_GBK" w:hint="eastAsia"/>
          <w:b/>
          <w:bCs/>
          <w:sz w:val="32"/>
          <w:szCs w:val="32"/>
          <w:highlight w:val="auto"/>
        </w:rPr>
        <w:t>、事业收入</w:t>
      </w:r>
      <w:r>
        <w:rPr>
          <w:rFonts w:eastAsia="方正仿宋_GBK" w:hint="eastAsia"/>
          <w:sz w:val="32"/>
          <w:szCs w:val="32"/>
          <w:highlight w:val="auto"/>
        </w:rPr>
        <w:t>：指海关系统所属事业单位开展专业业务活动及辅助活动取得的收入。</w:t>
      </w:r>
    </w:p>
    <w:p>
      <w:pPr>
        <w:spacing w:line="560" w:lineRule="exact"/>
        <w:ind w:firstLineChars="200" w:firstLine="640"/>
        <w:rPr>
          <w:rFonts w:eastAsia="方正仿宋_GBK" w:hint="eastAsia"/>
          <w:sz w:val="32"/>
          <w:szCs w:val="32"/>
          <w:highlight w:val="auto"/>
        </w:rPr>
      </w:pPr>
      <w:r>
        <w:rPr>
          <w:rFonts w:eastAsia="方正仿宋_GBK"/>
          <w:b/>
          <w:bCs/>
          <w:sz w:val="32"/>
          <w:szCs w:val="32"/>
          <w:highlight w:val="auto"/>
        </w:rPr>
        <w:t>二</w:t>
      </w:r>
      <w:r>
        <w:rPr>
          <w:rFonts w:eastAsia="方正仿宋_GBK" w:hint="eastAsia"/>
          <w:b/>
          <w:bCs/>
          <w:sz w:val="32"/>
          <w:szCs w:val="32"/>
          <w:highlight w:val="auto"/>
        </w:rPr>
        <w:t>、事业单位经营收入</w:t>
      </w:r>
      <w:r>
        <w:rPr>
          <w:rFonts w:eastAsia="方正仿宋_GBK" w:hint="eastAsia"/>
          <w:sz w:val="32"/>
          <w:szCs w:val="32"/>
          <w:highlight w:val="auto"/>
        </w:rPr>
        <w:t>：指海关系统所属事业单位在专业业务活动及辅助活动之外，开展非独立核算经营活动取得的收入。</w:t>
      </w:r>
    </w:p>
    <w:p>
      <w:pPr>
        <w:spacing w:line="560" w:lineRule="exact"/>
        <w:ind w:firstLineChars="200" w:firstLine="640"/>
        <w:rPr>
          <w:rFonts w:eastAsia="方正仿宋_GBK" w:hint="eastAsia"/>
          <w:sz w:val="32"/>
          <w:szCs w:val="32"/>
          <w:highlight w:val="auto"/>
        </w:rPr>
      </w:pPr>
      <w:r>
        <w:rPr>
          <w:rFonts w:eastAsia="方正仿宋_GBK"/>
          <w:b/>
          <w:bCs/>
          <w:sz w:val="32"/>
          <w:szCs w:val="32"/>
          <w:highlight w:val="auto"/>
        </w:rPr>
        <w:t>三</w:t>
      </w:r>
      <w:r>
        <w:rPr>
          <w:rFonts w:eastAsia="方正仿宋_GBK" w:hint="eastAsia"/>
          <w:b/>
          <w:bCs/>
          <w:sz w:val="32"/>
          <w:szCs w:val="32"/>
          <w:highlight w:val="auto"/>
        </w:rPr>
        <w:t>、其他收入</w:t>
      </w:r>
      <w:r>
        <w:rPr>
          <w:rFonts w:eastAsia="方正仿宋_GBK" w:hint="eastAsia"/>
          <w:sz w:val="32"/>
          <w:szCs w:val="32"/>
          <w:highlight w:val="auto"/>
        </w:rPr>
        <w:t>：指海关系统取得的除上述财政拨款收入、事业收入、事业单位经营收入等以外的收入。</w:t>
      </w:r>
    </w:p>
    <w:p>
      <w:pPr>
        <w:spacing w:line="560" w:lineRule="exact"/>
        <w:ind w:firstLineChars="200" w:firstLine="640"/>
        <w:rPr>
          <w:rFonts w:eastAsia="方正仿宋_GBK" w:hint="eastAsia"/>
          <w:sz w:val="32"/>
          <w:szCs w:val="32"/>
          <w:highlight w:val="auto"/>
        </w:rPr>
      </w:pPr>
      <w:r>
        <w:rPr>
          <w:rFonts w:eastAsia="方正仿宋_GBK"/>
          <w:b/>
          <w:bCs/>
          <w:sz w:val="32"/>
          <w:szCs w:val="32"/>
          <w:highlight w:val="auto"/>
        </w:rPr>
        <w:t>四</w:t>
      </w:r>
      <w:r>
        <w:rPr>
          <w:rFonts w:eastAsia="方正仿宋_GBK" w:hint="eastAsia"/>
          <w:b/>
          <w:bCs/>
          <w:sz w:val="32"/>
          <w:szCs w:val="32"/>
          <w:highlight w:val="auto"/>
        </w:rPr>
        <w:t>、一般公共服务支出（类）海关事务（款）</w:t>
      </w:r>
      <w:r>
        <w:rPr>
          <w:rFonts w:eastAsia="方正仿宋_GBK" w:hint="eastAsia"/>
          <w:sz w:val="32"/>
          <w:szCs w:val="32"/>
          <w:highlight w:val="auto"/>
        </w:rPr>
        <w:t>：反映海关用于系统行政和事业单位的基本支出及完成专项业务工作的项目支出。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（一）事业运行（项）</w:t>
      </w:r>
      <w:r>
        <w:rPr>
          <w:rFonts w:eastAsia="方正仿宋_GBK" w:hint="eastAsia"/>
          <w:sz w:val="32"/>
          <w:szCs w:val="32"/>
          <w:highlight w:val="auto"/>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hint="eastAsia"/>
          <w:sz w:val="32"/>
          <w:szCs w:val="32"/>
          <w:highlight w:val="auto"/>
        </w:rPr>
      </w:pPr>
      <w:r>
        <w:rPr>
          <w:rFonts w:eastAsia="方正仿宋_GBK"/>
          <w:b/>
          <w:bCs/>
          <w:sz w:val="32"/>
          <w:szCs w:val="32"/>
          <w:highlight w:val="auto"/>
        </w:rPr>
        <w:t>五</w:t>
      </w:r>
      <w:r>
        <w:rPr>
          <w:rFonts w:eastAsia="方正仿宋_GBK" w:hint="eastAsia"/>
          <w:b/>
          <w:bCs/>
          <w:sz w:val="32"/>
          <w:szCs w:val="32"/>
          <w:highlight w:val="auto"/>
        </w:rPr>
        <w:t>、社会保障和就业支出（类）行政事业单位养老支出（款）</w:t>
      </w:r>
      <w:r>
        <w:rPr>
          <w:rFonts w:eastAsia="方正仿宋_GBK" w:hint="eastAsia"/>
          <w:sz w:val="32"/>
          <w:szCs w:val="32"/>
          <w:highlight w:val="auto"/>
        </w:rPr>
        <w:t>：反映用于海关行政事业单位离退休方面的支出。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w:t>
      </w:r>
      <w:r>
        <w:rPr>
          <w:rFonts w:eastAsia="方正仿宋_GBK"/>
          <w:b/>
          <w:bCs/>
          <w:sz w:val="32"/>
          <w:szCs w:val="32"/>
          <w:highlight w:val="auto"/>
        </w:rPr>
        <w:t>一</w:t>
      </w:r>
      <w:r>
        <w:rPr>
          <w:rFonts w:eastAsia="方正仿宋_GBK" w:hint="eastAsia"/>
          <w:b/>
          <w:bCs/>
          <w:sz w:val="32"/>
          <w:szCs w:val="32"/>
          <w:highlight w:val="auto"/>
        </w:rPr>
        <w:t>）事业单位离退休（项）</w:t>
      </w:r>
      <w:r>
        <w:rPr>
          <w:rFonts w:eastAsia="方正仿宋_GBK" w:hint="eastAsia"/>
          <w:sz w:val="32"/>
          <w:szCs w:val="32"/>
          <w:highlight w:val="auto"/>
        </w:rPr>
        <w:t>：反映海关系统事业单位开支的离退休经费。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w:t>
      </w:r>
      <w:r>
        <w:rPr>
          <w:rFonts w:eastAsia="方正仿宋_GBK"/>
          <w:b/>
          <w:bCs/>
          <w:sz w:val="32"/>
          <w:szCs w:val="32"/>
          <w:highlight w:val="auto"/>
        </w:rPr>
        <w:t>二</w:t>
      </w:r>
      <w:r>
        <w:rPr>
          <w:rFonts w:eastAsia="方正仿宋_GBK" w:hint="eastAsia"/>
          <w:b/>
          <w:bCs/>
          <w:sz w:val="32"/>
          <w:szCs w:val="32"/>
          <w:highlight w:val="auto"/>
        </w:rPr>
        <w:t>）机关事业单位基本养老保险缴费支出（项）</w:t>
      </w:r>
      <w:r>
        <w:rPr>
          <w:rFonts w:eastAsia="方正仿宋_GBK" w:hint="eastAsia"/>
          <w:sz w:val="32"/>
          <w:szCs w:val="32"/>
          <w:highlight w:val="auto"/>
        </w:rPr>
        <w:t>：反映已参加当地社保的在职人员的基本养老保险支出。</w:t>
      </w:r>
    </w:p>
    <w:p>
      <w:pPr>
        <w:spacing w:line="560" w:lineRule="exact"/>
        <w:ind w:firstLineChars="200" w:firstLine="640"/>
        <w:rPr>
          <w:rFonts w:eastAsia="方正仿宋_GBK" w:hint="eastAsia"/>
          <w:sz w:val="32"/>
          <w:szCs w:val="32"/>
          <w:highlight w:val="auto"/>
        </w:rPr>
      </w:pPr>
    </w:p>
    <w:p>
      <w:pPr>
        <w:spacing w:line="560" w:lineRule="exact"/>
        <w:ind w:left="0"/>
        <w:rPr>
          <w:sz w:val="32"/>
        </w:rPr>
      </w:pPr>
      <w:bookmarkStart w:id="1" w:name="_GoBack"/>
      <w:bookmarkEnd w:id="1"/>
    </w:p>
    <w:sectPr>
      <w:footerReference w:type="default" r:id="rId5"/>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仿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Microsoft JhengHei">
    <w:panose1 w:val="020B0604030504040204"/>
    <w:charset w:val="88"/>
    <w:family w:val="swiss"/>
    <w:pitch w:val="variable"/>
    <w:sig w:usb0="00000087" w:usb1="28AF4000" w:usb2="00000016" w:usb3="00000000" w:csb0="00100009" w:csb1="00000000"/>
  </w:font>
  <w:font w:name="Arial">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7"/>
      </w:tabs>
    </w:pPr>
    <w:r>
      <w:rPr>
        <w:sz w:val="18"/>
      </w:rPr>
      <mc:AlternateContent>
        <mc:Choice Requires="wps">
          <w:drawing>
            <wp:anchor distT="0" distB="0" distL="114298" distR="114298" simplePos="0" relativeHeight="19" behindDoc="0" locked="0" layoutInCell="1" hidden="0" allowOverlap="1">
              <wp:simplePos x="0" y="0"/>
              <wp:positionH relativeFrom="margin">
                <wp:align>center</wp:align>
              </wp:positionH>
              <wp:positionV relativeFrom="paragraph">
                <wp:posOffset>0</wp:posOffset>
              </wp:positionV>
              <wp:extent cx="9525" cy="131445"/>
              <wp:effectExtent l="0" t="0" r="0" b="0"/>
              <wp:wrapNone/>
              <wp:docPr id="1" name="文本框 7"/>
              <wp:cNvGraphicFramePr>
                <a:graphicFrameLocks noChangeAspect="0"/>
              </wp:cNvGraphicFramePr>
              <a:graphic>
                <a:graphicData uri="http://schemas.microsoft.com/office/word/2010/wordprocessingShape">
                  <wps:wsp>
                    <wps:cNvSpPr/>
                    <wps:spPr>
                      <a:xfrm rot="0">
                        <a:off x="0" y="0"/>
                        <a:ext cx="9525" cy="131445"/>
                      </a:xfrm>
                      <a:prstGeom prst="rect"/>
                      <a:noFill/>
                      <a:ln w="9525" cmpd="sng" cap="flat">
                        <a:noFill/>
                        <a:prstDash val="solid"/>
                        <a:round/>
                      </a:ln>
                    </wps:spPr>
                    <wps:txbx id="2">
                      <w:txbxContent>
                        <w:p>
                          <w:pPr>
                            <w:pStyle w:val="15"/>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7 3" o:spid="_x0000_s3" filled="f" stroked="f" style="position:absolute;margin-left:0.0pt;margin-top:0.0pt;width:0.75pt;height:10.35pt;z-index:19;mso-position-horizontal:center;mso-position-horizontal-relative:margin;mso-position-vertical:absolute;mso-wrap-distance-left:8.999863pt;mso-wrap-distance-right:8.999863pt;mso-wrap-style:none;">
              <v:stroke color="#000000"/>
              <v:textbox id="851" inset="0mm,0mm,0mm,0mm" o:insetmode="custom" style="layout-flow:horizontal;v-text-anchor:top;mso-fit-shape-to-text:t;">
                <w:txbxContent>
                  <w:p>
                    <w:pPr>
                      <w:pStyle w:val="15"/>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7"/>
      </w:tabs>
    </w:pPr>
    <w:r>
      <w:rPr>
        <w:sz w:val="18"/>
      </w:rP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0</wp:posOffset>
              </wp:positionV>
              <wp:extent cx="139700" cy="160794"/>
              <wp:effectExtent l="0" t="0" r="0" b="0"/>
              <wp:wrapNone/>
              <wp:docPr id="7" name="文本框 8"/>
              <wp:cNvGraphicFramePr>
                <a:graphicFrameLocks noChangeAspect="0"/>
              </wp:cNvGraphicFramePr>
              <a:graphic>
                <a:graphicData uri="http://schemas.microsoft.com/office/word/2010/wordprocessingShape">
                  <wps:wsp>
                    <wps:cNvSpPr/>
                    <wps:spPr>
                      <a:xfrm rot="0">
                        <a:off x="0" y="0"/>
                        <a:ext cx="139700" cy="160794"/>
                      </a:xfrm>
                      <a:prstGeom prst="rect"/>
                      <a:noFill/>
                      <a:ln w="9525" cmpd="sng" cap="flat">
                        <a:noFill/>
                        <a:prstDash val="solid"/>
                        <a:round/>
                      </a:ln>
                    </wps:spPr>
                    <wps:txbx id="8">
                      <w:txbxContent>
                        <w:p>
                          <w:pPr>
                            <w:pStyle w:val="15"/>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8 9" o:spid="_x0000_s9" filled="f" stroked="f" style="position:absolute;margin-left:0.0pt;margin-top:0.0pt;width:11.000008pt;height:12.661001pt;z-index:23;mso-position-horizontal:center;mso-position-horizontal-relative:margin;mso-position-vertical:absolute;mso-wrap-distance-left:8.999863pt;mso-wrap-distance-right:8.999863pt;mso-wrap-style:none;">
              <v:stroke color="#000000"/>
              <v:textbox id="852" inset="0mm,0mm,0mm,0mm" o:insetmode="custom" style="layout-flow:horizontal;v-text-anchor:top;mso-fit-shape-to-text:t;">
                <w:txbxContent>
                  <w:p>
                    <w:pPr>
                      <w:pStyle w:val="15"/>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7"/>
      </w:tabs>
      <w:jc w:val="center"/>
      <w:rPr>
        <w:sz w:val="32"/>
        <w:szCs w:val="32"/>
      </w:rPr>
    </w:pPr>
    <w:r>
      <w:rPr>
        <w:sz w:val="32"/>
      </w:rPr>
      <mc:AlternateContent>
        <mc:Choice Requires="wps">
          <w:drawing>
            <wp:anchor distT="0" distB="0" distL="114298" distR="114298" simplePos="0" relativeHeight="21"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0" name="文本框 5"/>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round/>
                      </a:ln>
                    </wps:spPr>
                    <wps:txbx id="11">
                      <w:txbxContent>
                        <w:p>
                          <w:pPr>
                            <w:pStyle w:val="15"/>
                            <w:tabs>
                              <w:tab w:val="center" w:pos="4153"/>
                              <w:tab w:val="right" w:pos="8307"/>
                            </w:tabs>
                          </w:pPr>
                          <w:r>
                            <w:fldChar w:fldCharType="begin"/>
                          </w:r>
                          <w:r>
                            <w:instrText xml:space="preserve"> PAGE  \* MERGEFORMAT </w:instrText>
                          </w:r>
                          <w:r>
                            <w:fldChar w:fldCharType="separate"/>
                          </w:r>
                          <w:r>
                            <w:t>23</w:t>
                          </w:r>
                          <w:r>
                            <w:fldChar w:fldCharType="end"/>
                          </w:r>
                        </w:p>
                      </w:txbxContent>
                    </wps:txbx>
                    <wps:bodyPr vert="horz" wrap="none" lIns="0" tIns="0" rIns="0" bIns="0" anchor="t" anchorCtr="0" upright="1">
                      <a:spAutoFit/>
                    </wps:bodyPr>
                  </wps:wsp>
                </a:graphicData>
              </a:graphic>
            </wp:anchor>
          </w:drawing>
        </mc:Choice>
        <mc:Fallback>
          <w:pict>
            <v:shape type="#_x0000_t202" id="文本框 5 12" o:spid="_x0000_s12" filled="f" stroked="f" style="position:absolute;margin-left:0.0pt;margin-top:0.0pt;width:9.0pt;height:10.35pt;z-index:21;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5"/>
                      <w:tabs>
                        <w:tab w:val="center" w:pos="4153"/>
                        <w:tab w:val="right" w:pos="8307"/>
                      </w:tabs>
                    </w:pPr>
                    <w:r>
                      <w:fldChar w:fldCharType="begin"/>
                    </w:r>
                    <w:r>
                      <w:instrText xml:space="preserve"> PAGE  \* MERGEFORMAT </w:instrText>
                    </w:r>
                    <w:r>
                      <w:fldChar w:fldCharType="separate"/>
                    </w:r>
                    <w:r>
                      <w:t>23</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customStyle="1" w:styleId="16">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17">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18">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19">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0">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6">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8">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9">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4">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6">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7">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8">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2">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3">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4">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6">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1">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2">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4">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6">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7">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8">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1">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2">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3">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9">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1">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2">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6">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7">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8">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9">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3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34">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3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36">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37">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38">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42">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43">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44">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4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46">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5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51">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52">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53">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54">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58">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59">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1">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2">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6">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7">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8">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9">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8">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9">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0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01">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02">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06">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07">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08">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09">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1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14">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1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16">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17">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18">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2">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3">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4">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6">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2">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3">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4">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5">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6">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5">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6">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7">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8">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1">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2">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3">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4">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5">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6">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9">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30">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31">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32">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33">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34">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37">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38">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39">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40">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41">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42">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45">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46">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47">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48">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49">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50">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53">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54">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55">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56">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57">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58">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61">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62">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63">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64">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65">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69">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0">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1">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2">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3">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4">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5">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6">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7">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79">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80">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81">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82">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83">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84">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85">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88">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89">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90">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91">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92">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93">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94">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05">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06">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17">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18">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29">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30">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41">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42">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53">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54">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65">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66">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77">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78">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89">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90">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01">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02">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13">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14">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25">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26">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37">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38">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49">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50">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61">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62">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73">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74">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85">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86">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7">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8">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9">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0">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1">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2">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3">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4">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5">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6">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7">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8">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9">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0">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1">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2">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3">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4">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5">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6">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17">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18">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19">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20">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21">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22">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23">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2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2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2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5">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6">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7">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8">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0">
    <w:name w:val="样式 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1">
    <w:name w:val="样式 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2">
    <w:name w:val="样式 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3">
    <w:name w:val="样式 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4">
    <w:name w:val="样式 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5">
    <w:name w:val="样式 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6">
    <w:name w:val="样式 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7">
    <w:name w:val="样式 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8">
    <w:name w:val="样式 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9">
    <w:name w:val="样式 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0">
    <w:name w:val="样式 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1">
    <w:name w:val="样式 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2">
    <w:name w:val="样式 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3">
    <w:name w:val="样式 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4">
    <w:name w:val="样式 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5">
    <w:name w:val="样式 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6">
    <w:name w:val="样式 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7">
    <w:name w:val="样式 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8">
    <w:name w:val="样式 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9">
    <w:name w:val="样式 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0">
    <w:name w:val="样式 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1">
    <w:name w:val="样式 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2">
    <w:name w:val="样式 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3">
    <w:name w:val="样式 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4">
    <w:name w:val="样式 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5">
    <w:name w:val="样式 39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14.png"/><Relationship Id="rId7" Type="http://schemas.openxmlformats.org/officeDocument/2006/relationships/oleObject" Target="embeddings/oleObject1.bin"/><Relationship Id="rId8" Type="http://schemas.openxmlformats.org/officeDocument/2006/relationships/image" Target="media/16.png"/><Relationship Id="rId9" Type="http://schemas.openxmlformats.org/officeDocument/2006/relationships/oleObject" Target="embeddings/oleObject2.bin"/><Relationship Id="rId10" Type="http://schemas.openxmlformats.org/officeDocument/2006/relationships/styles" Target="styles.xml"/><Relationship Id="rId11" Type="http://schemas.openxmlformats.org/officeDocument/2006/relationships/fontTable" Target="fontTable.xml"/><Relationship Id="rId12"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customProps>
</customData>
</file>

<file path=customXml/itemProps1.xml><?xml version="1.0" encoding="utf-8"?>
<ds:datastoreItem xmlns:ds="http://schemas.openxmlformats.org/officeDocument/2006/customXml" ds:itemID="{4249078C-B9A5-4286-8086-DBC637E6F90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1030</TotalTime>
  <Application>Yozo_Office27021597764231179</Application>
  <Pages>22</Pages>
  <Words>3326</Words>
  <Characters>4106</Characters>
  <Lines>1301</Lines>
  <Paragraphs>433</Paragraphs>
  <CharactersWithSpaces>4245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li_yuting1</dc:creator>
  <cp:lastModifiedBy>zhang_ting</cp:lastModifiedBy>
  <cp:revision>1</cp:revision>
  <dcterms:created xsi:type="dcterms:W3CDTF">2024-04-30T08:20:00Z</dcterms:created>
  <dcterms:modified xsi:type="dcterms:W3CDTF">2025-05-08T10:13:31Z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2052-11.1.0.9339</vt:lpwstr>
  </property>
</Properties>
</file>