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360" w:lineRule="auto"/>
        <w:contextualSpacing/>
        <w:jc w:val="center"/>
        <w:rPr>
          <w:rFonts w:ascii="宋体" w:eastAsia="宋体" w:cs="宋体" w:hint="eastAsia"/>
          <w:sz w:val="24"/>
        </w:rPr>
      </w:pPr>
      <w:bookmarkStart w:id="0" w:name="_GoBack"/>
      <w:bookmarkEnd w:id="0"/>
      <w:r>
        <w:rPr>
          <w:rFonts w:ascii="宋体" w:eastAsia="宋体" w:cs="宋体" w:hint="eastAsia"/>
          <w:sz w:val="24"/>
        </w:rPr>
        <w:t>库尔勒海关基础设施功能恢复项目</w:t>
      </w:r>
    </w:p>
    <w:p>
      <w:pPr>
        <w:spacing w:line="360" w:lineRule="auto"/>
        <w:contextualSpacing/>
        <w:jc w:val="center"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中标公告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一、项目编号：2026（JKJ）208（招标文件编号：2026（JKJ）208）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二、项目名称：库尔勒海关基础设施功能恢复项目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三、中标（成交）信息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供应商名称：新疆丰茂建设工程有限公司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供应商地址：新疆乌鲁木齐高新区（新市区）石油新村街道卫星路94号自建房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中标（成交）金额：286.8206680（万元）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四、主要标的信息</w:t>
      </w:r>
    </w:p>
    <w:tbl>
      <w:tblPr>
        <w:jc w:val="center"/>
        <w:tblW w:w="9244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  <w:insideH w:val="outset" w:sz="18" w:space="0" w:color="auto"/>
          <w:insideV w:val="outset" w:sz="18" w:space="0" w:color="auto"/>
        </w:tblBorders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644"/>
        <w:gridCol w:w="1165"/>
        <w:gridCol w:w="1256"/>
        <w:gridCol w:w="2850"/>
        <w:gridCol w:w="1332"/>
        <w:gridCol w:w="693"/>
        <w:gridCol w:w="1304"/>
      </w:tblGrid>
      <w:tr>
        <w:trPr>
          <w:trHeight w:val="751"/>
          <w:tblHeader/>
        </w:trPr>
        <w:tc>
          <w:tcPr>
            <w:tcW w:w="644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供应商名称 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工程名称  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   施工范围 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施工工期  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项目经理 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执业证书  </w:t>
            </w:r>
          </w:p>
        </w:tc>
      </w:tr>
      <w:tr>
        <w:tc>
          <w:tcPr>
            <w:tcW w:w="644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新疆丰茂建设工程有限公司 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库尔勒海关基础设施功能恢复项目   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改造面积（门卫室）18.06平方米，1号楼外墙保温改造（含亮化），室外改造面积7000平方米，1号、2号、4号楼窗户更换等。   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自合同签订之日起至2026年11月30日。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  徐德海  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新265232397439  </w:t>
            </w:r>
          </w:p>
        </w:tc>
      </w:tr>
    </w:tbl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五、评审专家（单一来源采购人员）名单：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/>
          <w:sz w:val="24"/>
        </w:rPr>
        <w:t>赵红（组长）、朱亚丽、杨艳芳、刘玉萍、杜江龙（采购人代表）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六、代理服务收费标准及金额：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本项目代理费收费标准：本项目招标代理服务费参照《招标代理服务收费管理暂行办法》（计价格[2002]1980号）文件、(发改价格[2011]534号)文件规定下浮40%执行由中标人向采购代理机构支付。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本项目代理费总金额：1.384600 万元（人民币）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七、公告期限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自本公告发布之日起1个工作日。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八、其它补充事宜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中标人：新疆丰茂建设工程有限公司，综合得分：91.20分。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九、凡对本次公告内容提出询问，请按以下方式联系。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1.采购人信息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名 称：乌鲁木齐海关后勤管理中心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地址：乌鲁木齐市北京南路241号乌鲁木齐海关机关综合保障楼二楼　　　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联系方式：0991-3627249（工作业务电话）　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2.采购代理机构信息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名 称：新疆君凯杰工程项目管理有限公司　　　　　　　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地　址：新疆乌鲁木齐市水磨沟区会展大道1119号A座807室　　　　　　　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联系方式：袁骏辰15299080615　　　　　　　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3.项目联系方式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项目联系人：袁骏辰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电　话：15299080615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spacing w:beforeAutospacing="1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Normal (Web)"/>
    <w:basedOn w:val="0"/>
    <w:pPr>
      <w:spacing w:beforeAutospacing="1" w:afterAutospacing="1"/>
      <w:jc w:val="left"/>
    </w:pPr>
    <w:rPr>
      <w:kern w:val="0"/>
      <w:sz w:val="24"/>
    </w:rPr>
  </w:style>
  <w:style w:type="character" w:styleId="18">
    <w:name w:val="Strong"/>
    <w:basedOn w:val="10"/>
    <w:rPr>
      <w:b/>
    </w:rPr>
  </w:style>
  <w:style w:type="character" w:styleId="19">
    <w:name w:val="FollowedHyperlink"/>
    <w:basedOn w:val="10"/>
    <w:rPr>
      <w:rFonts w:ascii="微软雅黑" w:eastAsia="微软雅黑" w:cs="微软雅黑"/>
      <w:color w:val="02396F"/>
      <w:u w:val="single"/>
    </w:rPr>
  </w:style>
  <w:style w:type="character" w:styleId="20">
    <w:name w:val="Hyperlink"/>
    <w:basedOn w:val="10"/>
    <w:rPr>
      <w:rFonts w:ascii="微软雅黑" w:eastAsia="微软雅黑" w:cs="微软雅黑"/>
      <w:color w:val="02396F"/>
      <w:u w:val="single"/>
    </w:rPr>
  </w:style>
  <w:style w:type="character" w:customStyle="1" w:styleId="21">
    <w:name w:val="prev"/>
    <w:basedOn w:val="10"/>
    <w:rPr>
      <w:rFonts w:ascii="微软雅黑" w:eastAsia="微软雅黑" w:cs="微软雅黑"/>
      <w:sz w:val="21"/>
      <w:szCs w:val="21"/>
    </w:rPr>
  </w:style>
  <w:style w:type="character" w:customStyle="1" w:styleId="22">
    <w:name w:val="prev1"/>
    <w:basedOn w:val="10"/>
    <w:rPr>
      <w:color w:val="888888"/>
    </w:rPr>
  </w:style>
  <w:style w:type="character" w:customStyle="1" w:styleId="23">
    <w:name w:val="gjfg"/>
    <w:basedOn w:val="10"/>
  </w:style>
  <w:style w:type="character" w:customStyle="1" w:styleId="24">
    <w:name w:val="displayarti"/>
    <w:basedOn w:val="10"/>
    <w:rPr>
      <w:color w:val="FFFFFF"/>
      <w:shd w:val="clear" w:color="auto" w:fill="A00000"/>
    </w:rPr>
  </w:style>
  <w:style w:type="character" w:customStyle="1" w:styleId="25">
    <w:name w:val="next"/>
    <w:basedOn w:val="10"/>
    <w:rPr>
      <w:rFonts w:ascii="微软雅黑" w:eastAsia="微软雅黑" w:cs="微软雅黑"/>
      <w:sz w:val="21"/>
      <w:szCs w:val="21"/>
    </w:rPr>
  </w:style>
  <w:style w:type="character" w:customStyle="1" w:styleId="26">
    <w:name w:val="next1"/>
    <w:basedOn w:val="10"/>
    <w:rPr>
      <w:color w:val="888888"/>
    </w:rPr>
  </w:style>
  <w:style w:type="character" w:customStyle="1" w:styleId="27">
    <w:name w:val="cfdate"/>
    <w:basedOn w:val="10"/>
    <w:rPr>
      <w:color w:val="333333"/>
      <w:sz w:val="18"/>
      <w:szCs w:val="18"/>
    </w:rPr>
  </w:style>
  <w:style w:type="character" w:customStyle="1" w:styleId="28">
    <w:name w:val="redfilefwwh"/>
    <w:basedOn w:val="10"/>
    <w:rPr>
      <w:color w:val="BA2636"/>
      <w:sz w:val="18"/>
      <w:szCs w:val="18"/>
    </w:rPr>
  </w:style>
  <w:style w:type="character" w:customStyle="1" w:styleId="29">
    <w:name w:val="redfilenumber"/>
    <w:basedOn w:val="10"/>
    <w:rPr>
      <w:color w:val="BA2636"/>
      <w:sz w:val="18"/>
      <w:szCs w:val="18"/>
    </w:rPr>
  </w:style>
  <w:style w:type="character" w:customStyle="1" w:styleId="30">
    <w:name w:val="qxdate"/>
    <w:basedOn w:val="1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</Application>
  <Pages>2</Pages>
  <Words>664</Words>
  <Characters>783</Characters>
  <Lines>74</Lines>
  <Paragraphs>44</Paragraphs>
  <CharactersWithSpaces>878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张雅娟</cp:lastModifiedBy>
  <cp:revision>12</cp:revision>
  <dcterms:created xsi:type="dcterms:W3CDTF">2025-10-10T07:56:00Z</dcterms:created>
  <dcterms:modified xsi:type="dcterms:W3CDTF">2026-06-01T08:47:30Z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eyJoZGlkIjoiZDAyOWUxYTI2NzUwNWNjMjA1NmEzMWNkNWUzMjEzMGYiLCJ1c2VySWQiOiIxMDAwNjIzMzcwIn0=</vt:lpwstr>
  </property>
  <property fmtid="{D5CDD505-2E9C-101B-9397-08002B2CF9AE}" pid="4" name="ICV">
    <vt:lpwstr>7DE7867F482F44C3811E8BB179A787DF_12</vt:lpwstr>
  </property>
</Properties>
</file>