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556E3">
      <w:pPr>
        <w:pStyle w:val="2"/>
        <w:keepNext w:val="0"/>
        <w:keepLines w:val="0"/>
        <w:pageBreakBefore w:val="0"/>
        <w:widowControl w:val="0"/>
        <w:numPr>
          <w:numId w:val="0"/>
        </w:numPr>
        <w:kinsoku/>
        <w:wordWrap/>
        <w:overflowPunct/>
        <w:topLinePunct w:val="0"/>
        <w:autoSpaceDE/>
        <w:autoSpaceDN/>
        <w:bidi w:val="0"/>
        <w:spacing w:line="400" w:lineRule="exact"/>
        <w:jc w:val="center"/>
        <w:textAlignment w:val="auto"/>
        <w:rPr>
          <w:rFonts w:hint="eastAsia" w:ascii="宋体" w:hAnsi="宋体" w:eastAsia="宋体" w:cs="宋体"/>
          <w:b/>
          <w:bCs/>
          <w:color w:val="auto"/>
          <w:sz w:val="28"/>
          <w:szCs w:val="24"/>
          <w:lang w:eastAsia="zh-CN"/>
        </w:rPr>
      </w:pPr>
      <w:bookmarkStart w:id="29" w:name="_GoBack"/>
      <w:r>
        <w:rPr>
          <w:rFonts w:hint="eastAsia" w:ascii="宋体" w:hAnsi="宋体" w:eastAsia="宋体" w:cs="宋体"/>
          <w:b/>
          <w:bCs/>
          <w:color w:val="auto"/>
          <w:sz w:val="28"/>
          <w:szCs w:val="24"/>
          <w:lang w:eastAsia="zh-CN"/>
        </w:rPr>
        <w:t>2025年阿拉山口海关办公楼、宿舍楼及附属楼</w:t>
      </w:r>
    </w:p>
    <w:p w14:paraId="5DAF2C1A">
      <w:pPr>
        <w:pStyle w:val="2"/>
        <w:keepNext w:val="0"/>
        <w:keepLines w:val="0"/>
        <w:pageBreakBefore w:val="0"/>
        <w:widowControl w:val="0"/>
        <w:numPr>
          <w:ilvl w:val="0"/>
          <w:numId w:val="0"/>
        </w:numPr>
        <w:kinsoku/>
        <w:wordWrap/>
        <w:overflowPunct/>
        <w:topLinePunct w:val="0"/>
        <w:autoSpaceDE/>
        <w:autoSpaceDN/>
        <w:bidi w:val="0"/>
        <w:spacing w:line="400" w:lineRule="exact"/>
        <w:jc w:val="center"/>
        <w:textAlignment w:val="auto"/>
        <w:rPr>
          <w:rFonts w:hint="eastAsia" w:ascii="宋体" w:hAnsi="宋体" w:eastAsia="宋体" w:cs="宋体"/>
          <w:color w:val="auto"/>
          <w:sz w:val="28"/>
          <w:szCs w:val="24"/>
        </w:rPr>
      </w:pPr>
      <w:r>
        <w:rPr>
          <w:rFonts w:hint="eastAsia" w:ascii="宋体" w:hAnsi="宋体" w:eastAsia="宋体" w:cs="宋体"/>
          <w:b/>
          <w:bCs/>
          <w:color w:val="auto"/>
          <w:sz w:val="28"/>
          <w:szCs w:val="24"/>
          <w:lang w:eastAsia="zh-CN"/>
        </w:rPr>
        <w:t>消防设施器材升级改造项目</w:t>
      </w:r>
      <w:r>
        <w:rPr>
          <w:rFonts w:hint="eastAsia" w:ascii="宋体" w:hAnsi="宋体" w:eastAsia="宋体" w:cs="宋体"/>
          <w:b/>
          <w:bCs/>
          <w:color w:val="auto"/>
          <w:sz w:val="28"/>
          <w:szCs w:val="24"/>
        </w:rPr>
        <w:t>竞争性磋商公告</w:t>
      </w:r>
    </w:p>
    <w:bookmarkEnd w:id="29"/>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B2E9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9" w:type="dxa"/>
            <w:noWrap w:val="0"/>
            <w:vAlign w:val="top"/>
          </w:tcPr>
          <w:p w14:paraId="5D3444AB">
            <w:pPr>
              <w:keepNext w:val="0"/>
              <w:keepLines w:val="0"/>
              <w:pageBreakBefore w:val="0"/>
              <w:widowControl w:val="0"/>
              <w:kinsoku/>
              <w:wordWrap/>
              <w:overflowPunct/>
              <w:topLinePunct w:val="0"/>
              <w:autoSpaceDE/>
              <w:autoSpaceDN/>
              <w:bidi w:val="0"/>
              <w:spacing w:line="240" w:lineRule="auto"/>
              <w:textAlignment w:val="auto"/>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项目概况</w:t>
            </w:r>
          </w:p>
          <w:p w14:paraId="73DB56B8">
            <w:pPr>
              <w:keepNext w:val="0"/>
              <w:keepLines w:val="0"/>
              <w:pageBreakBefore w:val="0"/>
              <w:widowControl w:val="0"/>
              <w:kinsoku/>
              <w:wordWrap/>
              <w:overflowPunct/>
              <w:topLinePunct w:val="0"/>
              <w:autoSpaceDE/>
              <w:autoSpaceDN/>
              <w:bidi w:val="0"/>
              <w:spacing w:line="240" w:lineRule="auto"/>
              <w:ind w:firstLine="440" w:firstLineChars="200"/>
              <w:textAlignment w:val="auto"/>
              <w:rPr>
                <w:rFonts w:hint="eastAsia" w:ascii="宋体" w:hAnsi="宋体" w:eastAsia="宋体" w:cs="宋体"/>
                <w:i w:val="0"/>
                <w:iCs w:val="0"/>
                <w:color w:val="auto"/>
                <w:sz w:val="22"/>
                <w:szCs w:val="22"/>
                <w:u w:val="none"/>
                <w:vertAlign w:val="baseline"/>
                <w:lang w:val="en-US" w:eastAsia="zh-CN"/>
              </w:rPr>
            </w:pPr>
            <w:r>
              <w:rPr>
                <w:rFonts w:hint="eastAsia" w:ascii="宋体" w:cs="宋体"/>
                <w:sz w:val="22"/>
                <w:szCs w:val="22"/>
                <w:u w:val="single"/>
              </w:rPr>
              <w:t xml:space="preserve">2025年阿拉山口海关办公楼、宿舍楼及附属楼消防设施器材升级改造项目 </w:t>
            </w:r>
            <w:r>
              <w:rPr>
                <w:rFonts w:hint="eastAsia" w:ascii="宋体" w:cs="宋体"/>
                <w:sz w:val="22"/>
                <w:szCs w:val="22"/>
              </w:rPr>
              <w:t>采购项目的潜在供应商应在</w:t>
            </w:r>
            <w:r>
              <w:rPr>
                <w:rFonts w:hint="eastAsia" w:ascii="宋体" w:cs="宋体"/>
                <w:sz w:val="22"/>
                <w:szCs w:val="22"/>
                <w:u w:val="single"/>
              </w:rPr>
              <w:t>新疆银桥工程项目咨询有限公司（新疆乌鲁木齐市经济技术开发区（头屯河区）玄武湖路555号万达中心22楼2207室）</w:t>
            </w:r>
            <w:r>
              <w:rPr>
                <w:rFonts w:hint="eastAsia" w:ascii="宋体" w:cs="宋体"/>
                <w:sz w:val="22"/>
                <w:szCs w:val="22"/>
              </w:rPr>
              <w:t>获取采购文件，并于</w:t>
            </w:r>
            <w:r>
              <w:rPr>
                <w:rFonts w:hint="eastAsia" w:ascii="宋体" w:eastAsia="宋体" w:cs="宋体"/>
                <w:b/>
                <w:bCs/>
                <w:sz w:val="22"/>
                <w:szCs w:val="22"/>
                <w:highlight w:val="none"/>
                <w:u w:val="single"/>
                <w:lang w:val="en-US" w:eastAsia="zh-CN"/>
              </w:rPr>
              <w:t>202</w:t>
            </w:r>
            <w:r>
              <w:rPr>
                <w:rFonts w:hint="eastAsia" w:ascii="宋体" w:cs="宋体"/>
                <w:b/>
                <w:bCs/>
                <w:sz w:val="22"/>
                <w:szCs w:val="22"/>
                <w:highlight w:val="none"/>
                <w:u w:val="single"/>
                <w:lang w:val="en-US" w:eastAsia="zh-CN"/>
              </w:rPr>
              <w:t>5</w:t>
            </w:r>
            <w:r>
              <w:rPr>
                <w:rFonts w:hint="eastAsia" w:ascii="宋体" w:eastAsia="宋体" w:cs="宋体"/>
                <w:b/>
                <w:bCs/>
                <w:sz w:val="22"/>
                <w:szCs w:val="22"/>
                <w:highlight w:val="none"/>
                <w:u w:val="single"/>
                <w:lang w:val="en-US" w:eastAsia="zh-CN"/>
              </w:rPr>
              <w:t>年</w:t>
            </w:r>
            <w:r>
              <w:rPr>
                <w:rFonts w:hint="eastAsia" w:ascii="宋体" w:cs="宋体"/>
                <w:b/>
                <w:bCs/>
                <w:sz w:val="22"/>
                <w:szCs w:val="22"/>
                <w:highlight w:val="none"/>
                <w:u w:val="single"/>
                <w:lang w:val="en-US" w:eastAsia="zh-CN"/>
              </w:rPr>
              <w:t>10</w:t>
            </w:r>
            <w:r>
              <w:rPr>
                <w:rFonts w:hint="eastAsia" w:ascii="宋体" w:eastAsia="宋体" w:cs="宋体"/>
                <w:b/>
                <w:bCs/>
                <w:sz w:val="22"/>
                <w:szCs w:val="22"/>
                <w:highlight w:val="none"/>
                <w:u w:val="single"/>
                <w:lang w:val="en-US" w:eastAsia="zh-CN"/>
              </w:rPr>
              <w:t>月</w:t>
            </w:r>
            <w:r>
              <w:rPr>
                <w:rFonts w:hint="eastAsia" w:ascii="宋体" w:cs="宋体"/>
                <w:b/>
                <w:bCs/>
                <w:sz w:val="22"/>
                <w:szCs w:val="22"/>
                <w:highlight w:val="none"/>
                <w:u w:val="single"/>
                <w:lang w:val="en-US" w:eastAsia="zh-CN"/>
              </w:rPr>
              <w:t>31</w:t>
            </w:r>
            <w:r>
              <w:rPr>
                <w:rFonts w:hint="eastAsia" w:ascii="宋体" w:eastAsia="宋体" w:cs="宋体"/>
                <w:b/>
                <w:bCs/>
                <w:sz w:val="22"/>
                <w:szCs w:val="22"/>
                <w:highlight w:val="none"/>
                <w:u w:val="single"/>
                <w:lang w:val="en-US" w:eastAsia="zh-CN"/>
              </w:rPr>
              <w:t>日</w:t>
            </w:r>
            <w:r>
              <w:rPr>
                <w:rFonts w:hint="eastAsia" w:ascii="宋体" w:cs="宋体"/>
                <w:b/>
                <w:bCs/>
                <w:sz w:val="22"/>
                <w:szCs w:val="22"/>
                <w:highlight w:val="none"/>
                <w:u w:val="single"/>
                <w:lang w:val="en-US" w:eastAsia="zh-CN"/>
              </w:rPr>
              <w:t>11</w:t>
            </w:r>
            <w:r>
              <w:rPr>
                <w:rFonts w:hint="eastAsia" w:ascii="宋体" w:eastAsia="宋体" w:cs="宋体"/>
                <w:b/>
                <w:bCs/>
                <w:sz w:val="22"/>
                <w:szCs w:val="22"/>
                <w:highlight w:val="none"/>
                <w:u w:val="single"/>
              </w:rPr>
              <w:t>点</w:t>
            </w:r>
            <w:r>
              <w:rPr>
                <w:rFonts w:hint="eastAsia" w:ascii="宋体" w:cs="宋体"/>
                <w:b/>
                <w:bCs/>
                <w:sz w:val="22"/>
                <w:szCs w:val="22"/>
                <w:highlight w:val="none"/>
                <w:u w:val="single"/>
                <w:lang w:val="en-US" w:eastAsia="zh-CN"/>
              </w:rPr>
              <w:t>00</w:t>
            </w:r>
            <w:r>
              <w:rPr>
                <w:rFonts w:hint="eastAsia" w:ascii="宋体" w:eastAsia="宋体" w:cs="宋体"/>
                <w:b/>
                <w:bCs/>
                <w:sz w:val="22"/>
                <w:szCs w:val="22"/>
                <w:highlight w:val="none"/>
                <w:u w:val="single"/>
              </w:rPr>
              <w:t>分</w:t>
            </w:r>
            <w:r>
              <w:rPr>
                <w:rFonts w:hint="eastAsia" w:ascii="宋体" w:cs="宋体"/>
                <w:bCs/>
                <w:sz w:val="22"/>
                <w:szCs w:val="22"/>
              </w:rPr>
              <w:t>（北京时间）前提交响应文件</w:t>
            </w:r>
            <w:r>
              <w:rPr>
                <w:rFonts w:hint="eastAsia" w:ascii="宋体" w:cs="宋体"/>
                <w:bCs/>
                <w:sz w:val="22"/>
                <w:szCs w:val="22"/>
                <w:lang w:eastAsia="zh-CN"/>
              </w:rPr>
              <w:t>。</w:t>
            </w:r>
          </w:p>
        </w:tc>
      </w:tr>
    </w:tbl>
    <w:p w14:paraId="4C0E1EAA">
      <w:pPr>
        <w:keepNext w:val="0"/>
        <w:keepLines w:val="0"/>
        <w:pageBreakBefore w:val="0"/>
        <w:widowControl w:val="0"/>
        <w:kinsoku/>
        <w:wordWrap/>
        <w:overflowPunct/>
        <w:topLinePunct w:val="0"/>
        <w:autoSpaceDE/>
        <w:autoSpaceDN/>
        <w:bidi w:val="0"/>
        <w:spacing w:line="240" w:lineRule="auto"/>
        <w:ind w:left="0" w:leftChars="0"/>
        <w:textAlignment w:val="auto"/>
        <w:rPr>
          <w:rFonts w:hint="eastAsia" w:ascii="宋体" w:hAnsi="宋体" w:eastAsia="宋体" w:cs="宋体"/>
          <w:b/>
          <w:bCs/>
          <w:color w:val="auto"/>
          <w:sz w:val="22"/>
          <w:szCs w:val="24"/>
          <w:lang w:eastAsia="zh-CN"/>
        </w:rPr>
      </w:pPr>
      <w:bookmarkStart w:id="0" w:name="_Toc28359079"/>
      <w:bookmarkStart w:id="1" w:name="_Toc35393790"/>
      <w:bookmarkStart w:id="2" w:name="_Toc35393621"/>
      <w:bookmarkStart w:id="3" w:name="_Toc28359002"/>
      <w:bookmarkStart w:id="4" w:name="_Hlk24379207"/>
      <w:r>
        <w:rPr>
          <w:rFonts w:hint="eastAsia" w:ascii="宋体" w:hAnsi="宋体" w:eastAsia="宋体" w:cs="宋体"/>
          <w:b/>
          <w:bCs/>
          <w:color w:val="auto"/>
          <w:sz w:val="22"/>
          <w:szCs w:val="24"/>
        </w:rPr>
        <w:t>一、项目基本</w:t>
      </w:r>
      <w:bookmarkEnd w:id="0"/>
      <w:bookmarkEnd w:id="1"/>
      <w:bookmarkEnd w:id="2"/>
      <w:bookmarkEnd w:id="3"/>
      <w:r>
        <w:rPr>
          <w:rFonts w:hint="eastAsia" w:ascii="宋体" w:hAnsi="宋体" w:eastAsia="宋体" w:cs="宋体"/>
          <w:b/>
          <w:bCs/>
          <w:color w:val="auto"/>
          <w:sz w:val="22"/>
          <w:szCs w:val="24"/>
          <w:lang w:val="en-US" w:eastAsia="zh-CN"/>
        </w:rPr>
        <w:t>情况</w:t>
      </w:r>
    </w:p>
    <w:p w14:paraId="72D6CF45">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rPr>
        <w:t>项目编号</w:t>
      </w:r>
      <w:r>
        <w:rPr>
          <w:rFonts w:hint="eastAsia" w:ascii="宋体" w:hAnsi="宋体" w:eastAsia="宋体" w:cs="宋体"/>
          <w:color w:val="auto"/>
          <w:sz w:val="22"/>
          <w:szCs w:val="22"/>
          <w:lang w:eastAsia="zh-CN"/>
        </w:rPr>
        <w:t>：XJYQ-ZB2025-027</w:t>
      </w:r>
    </w:p>
    <w:p w14:paraId="7A0CC15E">
      <w:pPr>
        <w:keepNext w:val="0"/>
        <w:keepLines w:val="0"/>
        <w:pageBreakBefore w:val="0"/>
        <w:widowControl w:val="0"/>
        <w:kinsoku/>
        <w:wordWrap/>
        <w:overflowPunct/>
        <w:topLinePunct w:val="0"/>
        <w:autoSpaceDE/>
        <w:autoSpaceDN/>
        <w:bidi w:val="0"/>
        <w:spacing w:line="240" w:lineRule="auto"/>
        <w:ind w:left="0" w:leftChars="0" w:right="-313" w:rightChars="-149" w:firstLine="440" w:firstLineChars="200"/>
        <w:textAlignment w:val="auto"/>
        <w:rPr>
          <w:rFonts w:hint="default" w:ascii="宋体" w:hAnsi="宋体" w:eastAsia="宋体" w:cs="宋体"/>
          <w:b/>
          <w:color w:val="auto"/>
          <w:sz w:val="28"/>
          <w:szCs w:val="28"/>
          <w:lang w:val="en-US" w:eastAsia="zh-CN"/>
        </w:rPr>
      </w:pPr>
      <w:r>
        <w:rPr>
          <w:rFonts w:hint="eastAsia" w:ascii="宋体" w:hAnsi="宋体" w:eastAsia="宋体" w:cs="宋体"/>
          <w:color w:val="auto"/>
          <w:sz w:val="22"/>
          <w:szCs w:val="22"/>
        </w:rPr>
        <w:t>项目名称：</w:t>
      </w:r>
      <w:bookmarkEnd w:id="4"/>
      <w:r>
        <w:rPr>
          <w:rFonts w:hint="eastAsia" w:ascii="宋体" w:hAnsi="宋体" w:eastAsia="宋体" w:cs="宋体"/>
          <w:color w:val="auto"/>
          <w:sz w:val="22"/>
          <w:szCs w:val="22"/>
          <w:lang w:eastAsia="zh-CN"/>
        </w:rPr>
        <w:t>2025年阿拉山口海关办公楼、宿舍楼及附属楼消防设施器材升级改造项目</w:t>
      </w:r>
    </w:p>
    <w:p w14:paraId="60500E3B">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预算金额：</w:t>
      </w:r>
      <w:r>
        <w:rPr>
          <w:rFonts w:hint="eastAsia" w:ascii="宋体" w:hAnsi="宋体" w:eastAsia="宋体" w:cs="宋体"/>
          <w:color w:val="auto"/>
          <w:sz w:val="22"/>
          <w:szCs w:val="22"/>
          <w:highlight w:val="none"/>
          <w:lang w:val="en-US" w:eastAsia="zh-CN"/>
        </w:rPr>
        <w:t>120</w:t>
      </w:r>
      <w:r>
        <w:rPr>
          <w:rFonts w:hint="eastAsia" w:ascii="宋体" w:hAnsi="宋体" w:eastAsia="宋体" w:cs="宋体"/>
          <w:color w:val="auto"/>
          <w:sz w:val="22"/>
          <w:szCs w:val="22"/>
          <w:highlight w:val="none"/>
        </w:rPr>
        <w:t>万元（人民币）</w:t>
      </w:r>
    </w:p>
    <w:p w14:paraId="3F96F17F">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val="en-US" w:eastAsia="zh-CN"/>
        </w:rPr>
        <w:t>招标方式：竞争性磋商</w:t>
      </w:r>
    </w:p>
    <w:p w14:paraId="150325F6">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采购需求：</w:t>
      </w:r>
      <w:r>
        <w:rPr>
          <w:rFonts w:hint="eastAsia" w:ascii="宋体" w:hAnsi="宋体" w:eastAsia="宋体" w:cs="宋体"/>
          <w:color w:val="auto"/>
          <w:sz w:val="22"/>
          <w:szCs w:val="22"/>
          <w:highlight w:val="none"/>
          <w:lang w:val="en-US" w:eastAsia="zh-CN"/>
        </w:rPr>
        <w:t>工程量清单及图纸范围内的全部工作内容（包括采购文件、设计变更、答疑及采购文件补充等内容）；</w:t>
      </w:r>
    </w:p>
    <w:p w14:paraId="143BDA9E">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合同履行期限：</w:t>
      </w:r>
      <w:r>
        <w:rPr>
          <w:rFonts w:hint="eastAsia" w:ascii="宋体" w:hAnsi="宋体" w:cs="宋体"/>
          <w:color w:val="auto"/>
          <w:sz w:val="22"/>
          <w:szCs w:val="22"/>
          <w:highlight w:val="none"/>
          <w:lang w:val="en-US" w:eastAsia="zh-CN"/>
        </w:rPr>
        <w:t>合同签订后</w:t>
      </w:r>
      <w:r>
        <w:rPr>
          <w:rFonts w:hint="eastAsia" w:cs="宋体"/>
          <w:sz w:val="22"/>
          <w:szCs w:val="22"/>
          <w:highlight w:val="none"/>
          <w:lang w:val="en-US" w:eastAsia="zh-CN"/>
        </w:rPr>
        <w:t>30</w:t>
      </w:r>
      <w:r>
        <w:rPr>
          <w:rFonts w:hint="eastAsia" w:ascii="宋体" w:hAnsi="宋体" w:eastAsia="宋体" w:cs="宋体"/>
          <w:color w:val="auto"/>
          <w:sz w:val="22"/>
          <w:szCs w:val="22"/>
          <w:highlight w:val="none"/>
          <w:lang w:val="en-US" w:eastAsia="zh-CN"/>
        </w:rPr>
        <w:t>日</w:t>
      </w:r>
      <w:r>
        <w:rPr>
          <w:rFonts w:hint="eastAsia" w:ascii="宋体" w:hAnsi="宋体" w:cs="宋体"/>
          <w:color w:val="auto"/>
          <w:sz w:val="22"/>
          <w:szCs w:val="22"/>
          <w:highlight w:val="none"/>
          <w:lang w:val="en-US" w:eastAsia="zh-CN"/>
        </w:rPr>
        <w:t>完工</w:t>
      </w:r>
      <w:r>
        <w:rPr>
          <w:rFonts w:hint="eastAsia" w:ascii="宋体" w:hAnsi="宋体" w:eastAsia="宋体" w:cs="宋体"/>
          <w:color w:val="auto"/>
          <w:sz w:val="22"/>
          <w:szCs w:val="22"/>
          <w:highlight w:val="none"/>
          <w:lang w:val="en-US" w:eastAsia="zh-CN"/>
        </w:rPr>
        <w:t>（具体时间以施工合同签订为准）</w:t>
      </w:r>
      <w:r>
        <w:rPr>
          <w:rFonts w:hint="eastAsia" w:ascii="宋体" w:hAnsi="宋体" w:eastAsia="宋体" w:cs="宋体"/>
          <w:color w:val="auto"/>
          <w:sz w:val="22"/>
          <w:szCs w:val="22"/>
          <w:highlight w:val="none"/>
        </w:rPr>
        <w:t>。</w:t>
      </w:r>
    </w:p>
    <w:p w14:paraId="6E1BB170">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本项目( 不接受  )联合体投标。</w:t>
      </w:r>
    </w:p>
    <w:p w14:paraId="0BA61082">
      <w:pPr>
        <w:keepNext w:val="0"/>
        <w:keepLines w:val="0"/>
        <w:pageBreakBefore w:val="0"/>
        <w:widowControl w:val="0"/>
        <w:kinsoku/>
        <w:wordWrap/>
        <w:overflowPunct/>
        <w:topLinePunct w:val="0"/>
        <w:autoSpaceDE/>
        <w:autoSpaceDN/>
        <w:bidi w:val="0"/>
        <w:spacing w:line="240" w:lineRule="auto"/>
        <w:ind w:left="0" w:leftChars="0"/>
        <w:textAlignment w:val="auto"/>
        <w:rPr>
          <w:rFonts w:hint="eastAsia" w:ascii="宋体" w:hAnsi="宋体" w:eastAsia="宋体" w:cs="宋体"/>
          <w:b/>
          <w:bCs/>
          <w:color w:val="auto"/>
          <w:sz w:val="22"/>
          <w:szCs w:val="24"/>
          <w:highlight w:val="none"/>
        </w:rPr>
      </w:pPr>
      <w:bookmarkStart w:id="5" w:name="_Toc35393622"/>
      <w:bookmarkStart w:id="6" w:name="_Toc35393791"/>
      <w:bookmarkStart w:id="7" w:name="_Toc28359003"/>
      <w:bookmarkStart w:id="8" w:name="_Toc28359080"/>
      <w:r>
        <w:rPr>
          <w:rFonts w:hint="eastAsia" w:ascii="宋体" w:hAnsi="宋体" w:eastAsia="宋体" w:cs="宋体"/>
          <w:b/>
          <w:bCs/>
          <w:color w:val="auto"/>
          <w:sz w:val="22"/>
          <w:szCs w:val="24"/>
          <w:highlight w:val="none"/>
        </w:rPr>
        <w:t>二、申请人的资格要求：</w:t>
      </w:r>
      <w:bookmarkEnd w:id="5"/>
      <w:bookmarkEnd w:id="6"/>
      <w:bookmarkEnd w:id="7"/>
      <w:bookmarkEnd w:id="8"/>
    </w:p>
    <w:p w14:paraId="36297B10">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lang w:val="en-US" w:eastAsia="zh-CN"/>
        </w:rPr>
      </w:pPr>
      <w:bookmarkStart w:id="9" w:name="_Toc35393800"/>
      <w:bookmarkStart w:id="10" w:name="_Toc35393631"/>
      <w:r>
        <w:rPr>
          <w:rFonts w:hint="eastAsia" w:ascii="宋体" w:hAnsi="宋体" w:eastAsia="宋体" w:cs="宋体"/>
          <w:color w:val="auto"/>
          <w:sz w:val="22"/>
          <w:szCs w:val="22"/>
          <w:highlight w:val="none"/>
          <w:lang w:val="en-US" w:eastAsia="zh-CN"/>
        </w:rPr>
        <w:t>1.满足《中华人民共和国政府采购法》第二十二条规定；</w:t>
      </w:r>
    </w:p>
    <w:p w14:paraId="552618B4">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2.落实政府采购政策需满足的资格要求：供应商为中小企业；</w:t>
      </w:r>
    </w:p>
    <w:p w14:paraId="2D48B35E">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3.本项目的特定资格要求：</w:t>
      </w:r>
    </w:p>
    <w:p w14:paraId="2617577C">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（1）供应商须具备独立企业法人资格，在人员、设备、资金等方面具有承担本工程施工的能力</w:t>
      </w:r>
      <w:r>
        <w:rPr>
          <w:rFonts w:hint="eastAsia" w:ascii="宋体" w:hAnsi="宋体" w:cs="宋体"/>
          <w:color w:val="auto"/>
          <w:sz w:val="22"/>
          <w:szCs w:val="22"/>
          <w:highlight w:val="none"/>
          <w:lang w:val="en-US" w:eastAsia="zh-CN"/>
        </w:rPr>
        <w:t>，</w:t>
      </w:r>
      <w:r>
        <w:rPr>
          <w:rFonts w:hint="eastAsia" w:ascii="宋体" w:hAnsi="宋体" w:eastAsia="宋体" w:cs="宋体"/>
          <w:color w:val="auto"/>
          <w:sz w:val="22"/>
          <w:szCs w:val="22"/>
          <w:highlight w:val="none"/>
          <w:lang w:val="en-US" w:eastAsia="zh-CN"/>
        </w:rPr>
        <w:t>施工资质要求：具备消防设施工程专业承包贰级及以上资质，上述证书均应在有效期内；</w:t>
      </w:r>
    </w:p>
    <w:p w14:paraId="42C8927C">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（2）安全生产许可证要求：具备有效的安全生产许可证；</w:t>
      </w:r>
    </w:p>
    <w:p w14:paraId="3CC0AC06">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（3）供应商拟派项目经理</w:t>
      </w:r>
      <w:r>
        <w:rPr>
          <w:rFonts w:hint="eastAsia" w:ascii="宋体" w:hAnsi="宋体" w:eastAsia="宋体" w:cs="宋体"/>
          <w:b w:val="0"/>
          <w:bCs w:val="0"/>
          <w:color w:val="auto"/>
          <w:sz w:val="22"/>
          <w:szCs w:val="24"/>
          <w:highlight w:val="none"/>
          <w:lang w:val="en-US" w:eastAsia="zh-CN"/>
        </w:rPr>
        <w:t>须具备</w:t>
      </w:r>
      <w:r>
        <w:rPr>
          <w:rFonts w:hint="eastAsia" w:ascii="宋体" w:hAnsi="宋体" w:cs="宋体"/>
          <w:b w:val="0"/>
          <w:bCs w:val="0"/>
          <w:color w:val="auto"/>
          <w:sz w:val="22"/>
          <w:szCs w:val="24"/>
          <w:highlight w:val="none"/>
          <w:lang w:val="en-US" w:eastAsia="zh-CN"/>
        </w:rPr>
        <w:t>机电工程</w:t>
      </w:r>
      <w:r>
        <w:rPr>
          <w:rFonts w:hint="eastAsia" w:ascii="宋体" w:hAnsi="宋体" w:eastAsia="宋体" w:cs="宋体"/>
          <w:b w:val="0"/>
          <w:bCs w:val="0"/>
          <w:color w:val="auto"/>
          <w:sz w:val="22"/>
          <w:szCs w:val="24"/>
          <w:highlight w:val="none"/>
          <w:lang w:val="en-US" w:eastAsia="zh-CN"/>
        </w:rPr>
        <w:t>专业贰级</w:t>
      </w:r>
      <w:r>
        <w:rPr>
          <w:rFonts w:hint="eastAsia" w:ascii="宋体" w:hAnsi="宋体" w:cs="宋体"/>
          <w:b w:val="0"/>
          <w:bCs w:val="0"/>
          <w:color w:val="auto"/>
          <w:sz w:val="22"/>
          <w:szCs w:val="24"/>
          <w:highlight w:val="none"/>
          <w:lang w:val="en-US" w:eastAsia="zh-CN"/>
        </w:rPr>
        <w:t>（含二级）</w:t>
      </w:r>
      <w:r>
        <w:rPr>
          <w:rFonts w:hint="eastAsia" w:ascii="宋体" w:hAnsi="宋体" w:eastAsia="宋体" w:cs="宋体"/>
          <w:b w:val="0"/>
          <w:bCs w:val="0"/>
          <w:color w:val="auto"/>
          <w:sz w:val="22"/>
          <w:szCs w:val="24"/>
          <w:highlight w:val="none"/>
          <w:lang w:val="en-US" w:eastAsia="zh-CN"/>
        </w:rPr>
        <w:t>以上注册建造师执业资格</w:t>
      </w:r>
      <w:r>
        <w:rPr>
          <w:rFonts w:hint="eastAsia" w:ascii="宋体" w:hAnsi="宋体" w:eastAsia="宋体" w:cs="宋体"/>
          <w:b w:val="0"/>
          <w:bCs w:val="0"/>
          <w:color w:val="auto"/>
          <w:sz w:val="22"/>
          <w:szCs w:val="24"/>
          <w:highlight w:val="none"/>
          <w:lang w:val="en-US" w:eastAsia="zh-CN"/>
        </w:rPr>
        <w:t>，</w:t>
      </w:r>
      <w:r>
        <w:rPr>
          <w:rFonts w:hint="eastAsia" w:ascii="宋体" w:hAnsi="宋体" w:eastAsia="宋体" w:cs="宋体"/>
          <w:color w:val="auto"/>
          <w:sz w:val="22"/>
          <w:szCs w:val="22"/>
          <w:highlight w:val="none"/>
          <w:lang w:val="en-US" w:eastAsia="zh-CN"/>
        </w:rPr>
        <w:t>在本单位注册且具备有效的安全生产考核合格证书；</w:t>
      </w:r>
    </w:p>
    <w:p w14:paraId="58B809EB">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4）供应商须具有良好的信誉，未被“信用中国”网站（www.creditchina.gov.cn）中列入失信被执行人、重大税收违法失信主体的供应商、未被中国政府采购网（www.ccgp.gov.cn）列入政府采购严重违法失信行为记录名单；</w:t>
      </w:r>
    </w:p>
    <w:p w14:paraId="7B674B6C">
      <w:pPr>
        <w:keepNext w:val="0"/>
        <w:keepLines w:val="0"/>
        <w:pageBreakBefore w:val="0"/>
        <w:widowControl w:val="0"/>
        <w:kinsoku/>
        <w:wordWrap/>
        <w:overflowPunct/>
        <w:topLinePunct w:val="0"/>
        <w:autoSpaceDE/>
        <w:autoSpaceDN/>
        <w:bidi w:val="0"/>
        <w:spacing w:line="240" w:lineRule="auto"/>
        <w:ind w:left="0" w:leftChars="0"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（5）本项目不允许联合体投标；</w:t>
      </w:r>
    </w:p>
    <w:p w14:paraId="6DEF1A09">
      <w:pPr>
        <w:keepNext w:val="0"/>
        <w:keepLines w:val="0"/>
        <w:pageBreakBefore w:val="0"/>
        <w:widowControl w:val="0"/>
        <w:kinsoku/>
        <w:wordWrap/>
        <w:overflowPunct/>
        <w:topLinePunct w:val="0"/>
        <w:autoSpaceDE/>
        <w:autoSpaceDN/>
        <w:bidi w:val="0"/>
        <w:spacing w:line="240" w:lineRule="auto"/>
        <w:ind w:left="0" w:leftChars="0" w:firstLine="442" w:firstLineChars="200"/>
        <w:textAlignment w:val="auto"/>
        <w:rPr>
          <w:rFonts w:ascii="宋体" w:cs="宋体"/>
          <w:b/>
          <w:bCs/>
          <w:sz w:val="22"/>
          <w:szCs w:val="22"/>
        </w:rPr>
      </w:pPr>
      <w:r>
        <w:rPr>
          <w:rFonts w:hint="eastAsia" w:ascii="宋体" w:cs="宋体"/>
          <w:b/>
          <w:bCs/>
          <w:sz w:val="22"/>
          <w:szCs w:val="22"/>
        </w:rPr>
        <w:t>三、获取采购文件</w:t>
      </w:r>
      <w:bookmarkEnd w:id="9"/>
      <w:bookmarkEnd w:id="10"/>
    </w:p>
    <w:p w14:paraId="01111B9A">
      <w:pPr>
        <w:spacing w:line="240" w:lineRule="auto"/>
        <w:ind w:firstLine="440" w:firstLineChars="200"/>
        <w:rPr>
          <w:rFonts w:ascii="宋体" w:cs="宋体"/>
          <w:sz w:val="22"/>
          <w:szCs w:val="22"/>
        </w:rPr>
      </w:pPr>
      <w:r>
        <w:rPr>
          <w:rFonts w:hint="eastAsia" w:ascii="宋体" w:cs="宋体"/>
          <w:sz w:val="22"/>
          <w:szCs w:val="22"/>
        </w:rPr>
        <w:t>时间：</w:t>
      </w:r>
      <w:r>
        <w:rPr>
          <w:rFonts w:hint="eastAsia" w:ascii="宋体" w:eastAsia="宋体" w:cs="宋体"/>
          <w:b/>
          <w:bCs/>
          <w:sz w:val="22"/>
          <w:szCs w:val="22"/>
          <w:highlight w:val="none"/>
          <w:lang w:eastAsia="zh-CN"/>
        </w:rPr>
        <w:t>20</w:t>
      </w:r>
      <w:r>
        <w:rPr>
          <w:rFonts w:hint="eastAsia" w:ascii="宋体" w:eastAsia="宋体" w:cs="宋体"/>
          <w:b/>
          <w:bCs/>
          <w:sz w:val="22"/>
          <w:szCs w:val="22"/>
          <w:highlight w:val="none"/>
          <w:lang w:val="en-US" w:eastAsia="zh-CN"/>
        </w:rPr>
        <w:t>2</w:t>
      </w:r>
      <w:r>
        <w:rPr>
          <w:rFonts w:hint="eastAsia" w:ascii="宋体" w:cs="宋体"/>
          <w:b/>
          <w:bCs/>
          <w:sz w:val="22"/>
          <w:szCs w:val="22"/>
          <w:highlight w:val="none"/>
          <w:lang w:val="en-US" w:eastAsia="zh-CN"/>
        </w:rPr>
        <w:t>5</w:t>
      </w:r>
      <w:r>
        <w:rPr>
          <w:rFonts w:hint="eastAsia" w:ascii="宋体" w:eastAsia="宋体" w:cs="宋体"/>
          <w:b/>
          <w:bCs/>
          <w:sz w:val="22"/>
          <w:szCs w:val="22"/>
          <w:highlight w:val="none"/>
          <w:lang w:eastAsia="zh-CN"/>
        </w:rPr>
        <w:t>年</w:t>
      </w:r>
      <w:r>
        <w:rPr>
          <w:rFonts w:hint="eastAsia" w:ascii="宋体" w:cs="宋体"/>
          <w:b/>
          <w:bCs/>
          <w:sz w:val="22"/>
          <w:szCs w:val="22"/>
          <w:highlight w:val="none"/>
          <w:lang w:val="en-US" w:eastAsia="zh-CN"/>
        </w:rPr>
        <w:t>10</w:t>
      </w:r>
      <w:r>
        <w:rPr>
          <w:rFonts w:hint="eastAsia" w:ascii="宋体" w:eastAsia="宋体" w:cs="宋体"/>
          <w:b/>
          <w:bCs/>
          <w:sz w:val="22"/>
          <w:szCs w:val="22"/>
          <w:highlight w:val="none"/>
          <w:lang w:eastAsia="zh-CN"/>
        </w:rPr>
        <w:t>月</w:t>
      </w:r>
      <w:r>
        <w:rPr>
          <w:rFonts w:hint="eastAsia" w:ascii="宋体" w:cs="宋体"/>
          <w:b/>
          <w:bCs/>
          <w:sz w:val="22"/>
          <w:szCs w:val="22"/>
          <w:highlight w:val="none"/>
          <w:lang w:val="en-US" w:eastAsia="zh-CN"/>
        </w:rPr>
        <w:t>21</w:t>
      </w:r>
      <w:r>
        <w:rPr>
          <w:rFonts w:hint="eastAsia" w:ascii="宋体" w:eastAsia="宋体" w:cs="宋体"/>
          <w:b/>
          <w:bCs/>
          <w:sz w:val="22"/>
          <w:szCs w:val="22"/>
          <w:highlight w:val="none"/>
          <w:lang w:eastAsia="zh-CN"/>
        </w:rPr>
        <w:t>日至20</w:t>
      </w:r>
      <w:r>
        <w:rPr>
          <w:rFonts w:hint="eastAsia" w:ascii="宋体" w:eastAsia="宋体" w:cs="宋体"/>
          <w:b/>
          <w:bCs/>
          <w:sz w:val="22"/>
          <w:szCs w:val="22"/>
          <w:highlight w:val="none"/>
          <w:lang w:val="en-US" w:eastAsia="zh-CN"/>
        </w:rPr>
        <w:t>2</w:t>
      </w:r>
      <w:r>
        <w:rPr>
          <w:rFonts w:hint="eastAsia" w:ascii="宋体" w:cs="宋体"/>
          <w:b/>
          <w:bCs/>
          <w:sz w:val="22"/>
          <w:szCs w:val="22"/>
          <w:highlight w:val="none"/>
          <w:lang w:val="en-US" w:eastAsia="zh-CN"/>
        </w:rPr>
        <w:t>5</w:t>
      </w:r>
      <w:r>
        <w:rPr>
          <w:rFonts w:hint="eastAsia" w:ascii="宋体" w:eastAsia="宋体" w:cs="宋体"/>
          <w:b/>
          <w:bCs/>
          <w:sz w:val="22"/>
          <w:szCs w:val="22"/>
          <w:highlight w:val="none"/>
          <w:lang w:eastAsia="zh-CN"/>
        </w:rPr>
        <w:t>年</w:t>
      </w:r>
      <w:r>
        <w:rPr>
          <w:rFonts w:hint="eastAsia" w:ascii="宋体" w:cs="宋体"/>
          <w:b/>
          <w:bCs/>
          <w:sz w:val="22"/>
          <w:szCs w:val="22"/>
          <w:highlight w:val="none"/>
          <w:lang w:val="en-US" w:eastAsia="zh-CN"/>
        </w:rPr>
        <w:t>10</w:t>
      </w:r>
      <w:r>
        <w:rPr>
          <w:rFonts w:hint="eastAsia" w:ascii="宋体" w:eastAsia="宋体" w:cs="宋体"/>
          <w:b/>
          <w:bCs/>
          <w:sz w:val="22"/>
          <w:szCs w:val="22"/>
          <w:highlight w:val="none"/>
          <w:lang w:eastAsia="zh-CN"/>
        </w:rPr>
        <w:t>月</w:t>
      </w:r>
      <w:r>
        <w:rPr>
          <w:rFonts w:hint="eastAsia" w:ascii="宋体" w:cs="宋体"/>
          <w:b/>
          <w:bCs/>
          <w:sz w:val="22"/>
          <w:szCs w:val="22"/>
          <w:highlight w:val="none"/>
          <w:lang w:val="en-US" w:eastAsia="zh-CN"/>
        </w:rPr>
        <w:t>27</w:t>
      </w:r>
      <w:r>
        <w:rPr>
          <w:rFonts w:hint="eastAsia" w:ascii="宋体" w:eastAsia="宋体" w:cs="宋体"/>
          <w:b/>
          <w:bCs/>
          <w:sz w:val="22"/>
          <w:szCs w:val="22"/>
          <w:highlight w:val="none"/>
          <w:lang w:eastAsia="zh-CN"/>
        </w:rPr>
        <w:t>日</w:t>
      </w:r>
      <w:r>
        <w:rPr>
          <w:rFonts w:hint="eastAsia" w:ascii="宋体" w:cs="宋体"/>
          <w:sz w:val="22"/>
          <w:szCs w:val="22"/>
        </w:rPr>
        <w:t>，每天上午10:30至13:00，下午1</w:t>
      </w:r>
      <w:r>
        <w:rPr>
          <w:rFonts w:hint="eastAsia" w:ascii="宋体" w:cs="宋体"/>
          <w:sz w:val="22"/>
          <w:szCs w:val="22"/>
          <w:lang w:val="en-US" w:eastAsia="zh-CN"/>
        </w:rPr>
        <w:t>3</w:t>
      </w:r>
      <w:r>
        <w:rPr>
          <w:rFonts w:hint="eastAsia" w:ascii="宋体" w:cs="宋体"/>
          <w:sz w:val="22"/>
          <w:szCs w:val="22"/>
        </w:rPr>
        <w:t>:00至18:</w:t>
      </w:r>
      <w:r>
        <w:rPr>
          <w:rFonts w:hint="eastAsia" w:ascii="宋体" w:cs="宋体"/>
          <w:sz w:val="22"/>
          <w:szCs w:val="22"/>
          <w:lang w:val="en-US" w:eastAsia="zh-CN"/>
        </w:rPr>
        <w:t>0</w:t>
      </w:r>
      <w:r>
        <w:rPr>
          <w:rFonts w:hint="eastAsia" w:ascii="宋体" w:cs="宋体"/>
          <w:sz w:val="22"/>
          <w:szCs w:val="22"/>
        </w:rPr>
        <w:t>0（北京时间，法定节假日除外）；</w:t>
      </w:r>
    </w:p>
    <w:p w14:paraId="59C84493">
      <w:pPr>
        <w:spacing w:line="240" w:lineRule="auto"/>
        <w:ind w:firstLine="440" w:firstLineChars="200"/>
        <w:rPr>
          <w:rFonts w:ascii="宋体" w:cs="宋体"/>
          <w:sz w:val="22"/>
          <w:szCs w:val="22"/>
        </w:rPr>
      </w:pPr>
      <w:r>
        <w:rPr>
          <w:rFonts w:hint="eastAsia" w:ascii="宋体" w:cs="宋体"/>
          <w:sz w:val="22"/>
          <w:szCs w:val="22"/>
        </w:rPr>
        <w:t>地点：</w:t>
      </w:r>
      <w:r>
        <w:rPr>
          <w:rFonts w:hint="eastAsia" w:ascii="宋体" w:cs="宋体"/>
          <w:sz w:val="22"/>
          <w:szCs w:val="22"/>
          <w:u w:val="single"/>
        </w:rPr>
        <w:t>新疆银桥工程项目咨询有限公司（新疆乌鲁木齐市经济技术开发区（头屯河区）玄武湖路555号万达中心22楼2207室）</w:t>
      </w:r>
      <w:r>
        <w:rPr>
          <w:rFonts w:hint="eastAsia" w:ascii="宋体" w:cs="宋体"/>
          <w:sz w:val="22"/>
          <w:szCs w:val="22"/>
        </w:rPr>
        <w:t>；</w:t>
      </w:r>
    </w:p>
    <w:p w14:paraId="669C5403">
      <w:pPr>
        <w:spacing w:line="240" w:lineRule="auto"/>
        <w:ind w:firstLine="440" w:firstLineChars="200"/>
        <w:rPr>
          <w:rFonts w:ascii="宋体" w:cs="宋体"/>
          <w:sz w:val="22"/>
          <w:szCs w:val="22"/>
        </w:rPr>
      </w:pPr>
      <w:r>
        <w:rPr>
          <w:rFonts w:hint="eastAsia" w:ascii="宋体" w:cs="宋体"/>
          <w:sz w:val="22"/>
          <w:szCs w:val="22"/>
        </w:rPr>
        <w:t>方式：现场发售；</w:t>
      </w:r>
    </w:p>
    <w:p w14:paraId="7EDDB423">
      <w:pPr>
        <w:spacing w:line="240" w:lineRule="auto"/>
        <w:ind w:firstLine="440" w:firstLineChars="200"/>
        <w:rPr>
          <w:rFonts w:ascii="宋体" w:cs="宋体"/>
          <w:sz w:val="22"/>
          <w:szCs w:val="22"/>
        </w:rPr>
      </w:pPr>
      <w:r>
        <w:rPr>
          <w:rFonts w:hint="eastAsia" w:ascii="宋体" w:cs="宋体"/>
          <w:sz w:val="22"/>
          <w:szCs w:val="22"/>
        </w:rPr>
        <w:t>售价：200元，售后不退。</w:t>
      </w:r>
    </w:p>
    <w:p w14:paraId="04FAEDA9">
      <w:pPr>
        <w:spacing w:line="240" w:lineRule="auto"/>
        <w:rPr>
          <w:rFonts w:ascii="宋体" w:cs="宋体"/>
          <w:b/>
          <w:bCs/>
          <w:sz w:val="22"/>
          <w:szCs w:val="22"/>
        </w:rPr>
      </w:pPr>
      <w:bookmarkStart w:id="11" w:name="_Toc28359092"/>
      <w:bookmarkStart w:id="12" w:name="_Toc35393801"/>
      <w:bookmarkStart w:id="13" w:name="_Toc28359015"/>
      <w:bookmarkStart w:id="14" w:name="_Toc35393632"/>
      <w:r>
        <w:rPr>
          <w:rFonts w:hint="eastAsia" w:ascii="宋体" w:cs="宋体"/>
          <w:b/>
          <w:bCs/>
          <w:sz w:val="22"/>
          <w:szCs w:val="22"/>
        </w:rPr>
        <w:t>四、响应文件提交</w:t>
      </w:r>
      <w:bookmarkEnd w:id="11"/>
      <w:bookmarkEnd w:id="12"/>
      <w:bookmarkEnd w:id="13"/>
      <w:bookmarkEnd w:id="14"/>
    </w:p>
    <w:p w14:paraId="4603FD3C">
      <w:pPr>
        <w:spacing w:line="240" w:lineRule="auto"/>
        <w:ind w:firstLine="440" w:firstLineChars="200"/>
        <w:rPr>
          <w:rFonts w:ascii="宋体" w:cs="宋体"/>
          <w:sz w:val="22"/>
          <w:szCs w:val="22"/>
        </w:rPr>
      </w:pPr>
      <w:r>
        <w:rPr>
          <w:rFonts w:hint="eastAsia" w:ascii="宋体" w:cs="宋体"/>
          <w:sz w:val="22"/>
          <w:szCs w:val="22"/>
        </w:rPr>
        <w:t>截止时间：</w:t>
      </w:r>
      <w:r>
        <w:rPr>
          <w:rFonts w:hint="eastAsia" w:ascii="宋体" w:cs="宋体"/>
          <w:b/>
          <w:bCs/>
          <w:sz w:val="22"/>
          <w:szCs w:val="22"/>
        </w:rPr>
        <w:t>2025年</w:t>
      </w:r>
      <w:r>
        <w:rPr>
          <w:rFonts w:hint="eastAsia" w:ascii="宋体" w:cs="宋体"/>
          <w:b/>
          <w:bCs/>
          <w:sz w:val="22"/>
          <w:szCs w:val="22"/>
          <w:lang w:val="en-US" w:eastAsia="zh-CN"/>
        </w:rPr>
        <w:t>10</w:t>
      </w:r>
      <w:r>
        <w:rPr>
          <w:rFonts w:hint="eastAsia" w:ascii="宋体" w:cs="宋体"/>
          <w:b/>
          <w:bCs/>
          <w:sz w:val="22"/>
          <w:szCs w:val="22"/>
        </w:rPr>
        <w:t>月</w:t>
      </w:r>
      <w:r>
        <w:rPr>
          <w:rFonts w:hint="eastAsia" w:ascii="宋体" w:cs="宋体"/>
          <w:b/>
          <w:bCs/>
          <w:sz w:val="22"/>
          <w:szCs w:val="22"/>
          <w:lang w:val="en-US" w:eastAsia="zh-CN"/>
        </w:rPr>
        <w:t>31</w:t>
      </w:r>
      <w:r>
        <w:rPr>
          <w:rFonts w:hint="eastAsia" w:ascii="宋体" w:cs="宋体"/>
          <w:b/>
          <w:bCs/>
          <w:sz w:val="22"/>
          <w:szCs w:val="22"/>
        </w:rPr>
        <w:t>日</w:t>
      </w:r>
      <w:r>
        <w:rPr>
          <w:rFonts w:hint="eastAsia" w:ascii="宋体" w:cs="宋体"/>
          <w:b/>
          <w:bCs/>
          <w:sz w:val="22"/>
          <w:szCs w:val="22"/>
          <w:highlight w:val="none"/>
          <w:lang w:val="en-US" w:eastAsia="zh-CN"/>
        </w:rPr>
        <w:t>11</w:t>
      </w:r>
      <w:r>
        <w:rPr>
          <w:rFonts w:hint="eastAsia" w:ascii="宋体" w:cs="宋体"/>
          <w:b/>
          <w:bCs/>
          <w:sz w:val="22"/>
          <w:szCs w:val="22"/>
          <w:highlight w:val="none"/>
        </w:rPr>
        <w:t>时00分</w:t>
      </w:r>
      <w:r>
        <w:rPr>
          <w:rFonts w:hint="eastAsia" w:ascii="宋体" w:cs="宋体"/>
          <w:sz w:val="22"/>
          <w:szCs w:val="22"/>
        </w:rPr>
        <w:t>（北京时间）（从磋商文件开始发出之日起至供应商提交首次响应文件截止之日止不得少于10日）。</w:t>
      </w:r>
    </w:p>
    <w:p w14:paraId="435E3B57">
      <w:pPr>
        <w:spacing w:line="240" w:lineRule="auto"/>
        <w:ind w:firstLine="440" w:firstLineChars="200"/>
        <w:rPr>
          <w:rFonts w:ascii="宋体" w:cs="宋体"/>
          <w:sz w:val="22"/>
          <w:szCs w:val="22"/>
        </w:rPr>
      </w:pPr>
      <w:r>
        <w:rPr>
          <w:rFonts w:hint="eastAsia" w:ascii="宋体" w:cs="宋体"/>
          <w:sz w:val="22"/>
          <w:szCs w:val="22"/>
        </w:rPr>
        <w:t>地点：新疆银桥工程项目咨询有限公司（新疆乌鲁木齐市经济技术开发区（头屯河区）玄武湖路555号万达中心22楼）会议室递交响应文件。</w:t>
      </w:r>
    </w:p>
    <w:p w14:paraId="28DABAE7">
      <w:pPr>
        <w:spacing w:line="240" w:lineRule="auto"/>
        <w:rPr>
          <w:rFonts w:ascii="宋体" w:cs="宋体"/>
          <w:b/>
          <w:bCs/>
          <w:sz w:val="22"/>
          <w:szCs w:val="22"/>
        </w:rPr>
      </w:pPr>
      <w:bookmarkStart w:id="15" w:name="_Toc28359016"/>
      <w:bookmarkStart w:id="16" w:name="_Toc35393633"/>
      <w:bookmarkStart w:id="17" w:name="_Toc35393802"/>
      <w:bookmarkStart w:id="18" w:name="_Toc28359093"/>
      <w:r>
        <w:rPr>
          <w:rFonts w:hint="eastAsia" w:ascii="宋体" w:cs="宋体"/>
          <w:b/>
          <w:bCs/>
          <w:sz w:val="22"/>
          <w:szCs w:val="22"/>
        </w:rPr>
        <w:t>五、开启</w:t>
      </w:r>
      <w:bookmarkEnd w:id="15"/>
      <w:bookmarkEnd w:id="16"/>
      <w:bookmarkEnd w:id="17"/>
      <w:bookmarkEnd w:id="18"/>
    </w:p>
    <w:p w14:paraId="720B4383">
      <w:pPr>
        <w:spacing w:line="240" w:lineRule="auto"/>
        <w:ind w:firstLine="440" w:firstLineChars="200"/>
        <w:rPr>
          <w:rFonts w:ascii="宋体" w:cs="宋体"/>
          <w:sz w:val="22"/>
          <w:szCs w:val="22"/>
        </w:rPr>
      </w:pPr>
      <w:r>
        <w:rPr>
          <w:rFonts w:hint="eastAsia" w:ascii="宋体" w:cs="宋体"/>
          <w:sz w:val="22"/>
          <w:szCs w:val="22"/>
        </w:rPr>
        <w:t>时间：</w:t>
      </w:r>
      <w:r>
        <w:rPr>
          <w:rFonts w:hint="eastAsia" w:ascii="宋体" w:cs="宋体"/>
          <w:b/>
          <w:bCs/>
          <w:sz w:val="22"/>
          <w:szCs w:val="22"/>
        </w:rPr>
        <w:t>2025年</w:t>
      </w:r>
      <w:r>
        <w:rPr>
          <w:rFonts w:hint="eastAsia" w:ascii="宋体" w:cs="宋体"/>
          <w:b/>
          <w:bCs/>
          <w:sz w:val="22"/>
          <w:szCs w:val="22"/>
          <w:lang w:val="en-US" w:eastAsia="zh-CN"/>
        </w:rPr>
        <w:t>10</w:t>
      </w:r>
      <w:r>
        <w:rPr>
          <w:rFonts w:hint="eastAsia" w:ascii="宋体" w:cs="宋体"/>
          <w:b/>
          <w:bCs/>
          <w:sz w:val="22"/>
          <w:szCs w:val="22"/>
        </w:rPr>
        <w:t>月</w:t>
      </w:r>
      <w:r>
        <w:rPr>
          <w:rFonts w:hint="eastAsia" w:ascii="宋体" w:cs="宋体"/>
          <w:b/>
          <w:bCs/>
          <w:sz w:val="22"/>
          <w:szCs w:val="22"/>
          <w:lang w:val="en-US" w:eastAsia="zh-CN"/>
        </w:rPr>
        <w:t>31</w:t>
      </w:r>
      <w:r>
        <w:rPr>
          <w:rFonts w:hint="eastAsia" w:ascii="宋体" w:cs="宋体"/>
          <w:b/>
          <w:bCs/>
          <w:sz w:val="22"/>
          <w:szCs w:val="22"/>
        </w:rPr>
        <w:t>日</w:t>
      </w:r>
      <w:r>
        <w:rPr>
          <w:rFonts w:hint="eastAsia" w:ascii="宋体" w:cs="宋体"/>
          <w:b/>
          <w:bCs/>
          <w:sz w:val="22"/>
          <w:szCs w:val="22"/>
          <w:highlight w:val="none"/>
          <w:lang w:val="en-US" w:eastAsia="zh-CN"/>
        </w:rPr>
        <w:t>11</w:t>
      </w:r>
      <w:r>
        <w:rPr>
          <w:rFonts w:hint="eastAsia" w:ascii="宋体" w:cs="宋体"/>
          <w:b/>
          <w:bCs/>
          <w:sz w:val="22"/>
          <w:szCs w:val="22"/>
          <w:highlight w:val="none"/>
        </w:rPr>
        <w:t>时00分</w:t>
      </w:r>
      <w:r>
        <w:rPr>
          <w:rFonts w:hint="eastAsia" w:ascii="宋体" w:cs="宋体"/>
          <w:sz w:val="22"/>
          <w:szCs w:val="22"/>
        </w:rPr>
        <w:t>（北京时间）。</w:t>
      </w:r>
    </w:p>
    <w:p w14:paraId="0FBB39BD">
      <w:pPr>
        <w:spacing w:line="240" w:lineRule="auto"/>
        <w:ind w:firstLine="440" w:firstLineChars="200"/>
        <w:rPr>
          <w:rFonts w:ascii="宋体" w:cs="宋体"/>
          <w:sz w:val="22"/>
          <w:szCs w:val="22"/>
        </w:rPr>
      </w:pPr>
      <w:r>
        <w:rPr>
          <w:rFonts w:hint="eastAsia" w:ascii="宋体" w:cs="宋体"/>
          <w:sz w:val="22"/>
          <w:szCs w:val="22"/>
        </w:rPr>
        <w:t>地点：新疆银桥工程项目咨询有限公司（新疆乌鲁木齐市经济技术开发区（头屯河区）玄武湖路555号万达中心22楼）会议室。</w:t>
      </w:r>
    </w:p>
    <w:p w14:paraId="690711BE">
      <w:pPr>
        <w:spacing w:line="240" w:lineRule="auto"/>
        <w:rPr>
          <w:rFonts w:ascii="宋体" w:cs="宋体"/>
          <w:b/>
          <w:bCs/>
          <w:sz w:val="22"/>
          <w:szCs w:val="22"/>
        </w:rPr>
      </w:pPr>
      <w:bookmarkStart w:id="19" w:name="_Toc35393634"/>
      <w:bookmarkStart w:id="20" w:name="_Toc28359094"/>
      <w:bookmarkStart w:id="21" w:name="_Toc28359017"/>
      <w:bookmarkStart w:id="22" w:name="_Toc35393803"/>
      <w:r>
        <w:rPr>
          <w:rFonts w:hint="eastAsia" w:ascii="宋体" w:cs="宋体"/>
          <w:b/>
          <w:bCs/>
          <w:sz w:val="22"/>
          <w:szCs w:val="22"/>
        </w:rPr>
        <w:t>六、公告期限</w:t>
      </w:r>
      <w:bookmarkEnd w:id="19"/>
      <w:bookmarkEnd w:id="20"/>
      <w:bookmarkEnd w:id="21"/>
      <w:bookmarkEnd w:id="22"/>
    </w:p>
    <w:p w14:paraId="73D1FE21">
      <w:pPr>
        <w:spacing w:line="240" w:lineRule="auto"/>
        <w:ind w:firstLine="440" w:firstLineChars="200"/>
        <w:rPr>
          <w:rFonts w:ascii="宋体" w:cs="宋体"/>
          <w:sz w:val="22"/>
          <w:szCs w:val="22"/>
        </w:rPr>
      </w:pPr>
      <w:r>
        <w:rPr>
          <w:rFonts w:hint="eastAsia" w:ascii="宋体" w:cs="宋体"/>
          <w:sz w:val="22"/>
          <w:szCs w:val="22"/>
        </w:rPr>
        <w:t>自本公告发布之日起</w:t>
      </w:r>
      <w:r>
        <w:rPr>
          <w:rFonts w:hint="eastAsia" w:ascii="宋体" w:cs="宋体"/>
          <w:sz w:val="22"/>
          <w:szCs w:val="22"/>
          <w:lang w:val="en-US" w:eastAsia="zh-CN"/>
        </w:rPr>
        <w:t>3</w:t>
      </w:r>
      <w:r>
        <w:rPr>
          <w:rFonts w:hint="eastAsia" w:ascii="宋体" w:cs="宋体"/>
          <w:sz w:val="22"/>
          <w:szCs w:val="22"/>
        </w:rPr>
        <w:t>个工作日。</w:t>
      </w:r>
    </w:p>
    <w:p w14:paraId="43480BD5">
      <w:pPr>
        <w:spacing w:line="240" w:lineRule="auto"/>
        <w:rPr>
          <w:rFonts w:ascii="宋体" w:cs="宋体"/>
          <w:b/>
          <w:bCs/>
          <w:sz w:val="22"/>
          <w:szCs w:val="22"/>
        </w:rPr>
      </w:pPr>
      <w:bookmarkStart w:id="23" w:name="_Toc35393635"/>
      <w:bookmarkStart w:id="24" w:name="_Toc35393804"/>
      <w:r>
        <w:rPr>
          <w:rFonts w:hint="eastAsia" w:ascii="宋体" w:cs="宋体"/>
          <w:b/>
          <w:bCs/>
          <w:sz w:val="22"/>
          <w:szCs w:val="22"/>
        </w:rPr>
        <w:t>七、其他补充事宜</w:t>
      </w:r>
      <w:bookmarkEnd w:id="23"/>
      <w:bookmarkEnd w:id="24"/>
    </w:p>
    <w:p w14:paraId="44778C42">
      <w:pPr>
        <w:keepNext w:val="0"/>
        <w:keepLines w:val="0"/>
        <w:pageBreakBefore w:val="0"/>
        <w:widowControl w:val="0"/>
        <w:kinsoku/>
        <w:wordWrap/>
        <w:overflowPunct/>
        <w:topLinePunct w:val="0"/>
        <w:autoSpaceDE/>
        <w:autoSpaceDN/>
        <w:bidi w:val="0"/>
        <w:spacing w:line="240" w:lineRule="auto"/>
        <w:textAlignment w:val="auto"/>
        <w:rPr>
          <w:rFonts w:hint="eastAsia" w:ascii="宋体" w:hAnsi="Times New Roman" w:eastAsia="宋体" w:cs="宋体"/>
          <w:kern w:val="2"/>
          <w:sz w:val="22"/>
          <w:szCs w:val="22"/>
          <w:lang w:val="en-US" w:eastAsia="zh-CN" w:bidi="ar-SA"/>
        </w:rPr>
      </w:pPr>
      <w:bookmarkStart w:id="25" w:name="_Toc35393636"/>
      <w:bookmarkStart w:id="26" w:name="_Toc28359018"/>
      <w:bookmarkStart w:id="27" w:name="_Toc35393805"/>
      <w:bookmarkStart w:id="28" w:name="_Toc28359095"/>
      <w:r>
        <w:rPr>
          <w:rFonts w:hint="eastAsia" w:ascii="宋体" w:hAnsi="宋体" w:eastAsia="宋体" w:cs="宋体"/>
          <w:color w:val="auto"/>
          <w:sz w:val="22"/>
          <w:szCs w:val="22"/>
          <w:highlight w:val="none"/>
          <w:lang w:val="en-US" w:eastAsia="zh-CN"/>
        </w:rPr>
        <w:t>1、本项目专门面向中小企业。供应商应符合《政府采购促进中小企业发展管理办法》(财库〔2020〕46号)第四条规定的情形</w:t>
      </w:r>
      <w:r>
        <w:rPr>
          <w:rFonts w:hint="eastAsia" w:ascii="宋体" w:hAnsi="Times New Roman" w:eastAsia="宋体" w:cs="宋体"/>
          <w:kern w:val="2"/>
          <w:sz w:val="22"/>
          <w:szCs w:val="22"/>
          <w:lang w:val="en-US" w:eastAsia="zh-CN" w:bidi="ar-SA"/>
        </w:rPr>
        <w:t>，且应当提供《政府采购促进中小企业发展管理办法》(财库〔2020〕46号)规定的《中小企业声明函》。</w:t>
      </w:r>
    </w:p>
    <w:p w14:paraId="02E420D7">
      <w:pPr>
        <w:pStyle w:val="4"/>
        <w:widowControl/>
        <w:spacing w:before="75" w:beforeAutospacing="0" w:after="75" w:afterAutospacing="0" w:line="300" w:lineRule="atLeast"/>
        <w:rPr>
          <w:rFonts w:hint="eastAsia" w:ascii="宋体" w:hAnsi="Times New Roman" w:eastAsia="宋体" w:cs="宋体"/>
          <w:b/>
          <w:bCs/>
          <w:kern w:val="2"/>
          <w:sz w:val="22"/>
          <w:szCs w:val="22"/>
          <w:lang w:val="en-US" w:eastAsia="zh-CN" w:bidi="ar-SA"/>
        </w:rPr>
      </w:pPr>
      <w:r>
        <w:rPr>
          <w:rFonts w:hint="eastAsia" w:ascii="宋体" w:hAnsi="Times New Roman" w:eastAsia="宋体" w:cs="宋体"/>
          <w:kern w:val="2"/>
          <w:sz w:val="22"/>
          <w:szCs w:val="22"/>
          <w:lang w:val="en-US" w:eastAsia="zh-CN" w:bidi="ar-SA"/>
        </w:rPr>
        <w:t>2、请供应商于规定时间内前往新疆银桥工程项目咨询有限公司</w:t>
      </w:r>
      <w:r>
        <w:rPr>
          <w:rFonts w:hint="eastAsia" w:ascii="宋体" w:hAnsi="Times New Roman" w:eastAsia="宋体" w:cs="宋体"/>
          <w:kern w:val="2"/>
          <w:sz w:val="22"/>
          <w:szCs w:val="22"/>
          <w:u w:val="none"/>
          <w:lang w:val="en-US" w:eastAsia="zh-CN" w:bidi="ar-SA"/>
        </w:rPr>
        <w:t>（</w:t>
      </w:r>
      <w:r>
        <w:rPr>
          <w:rFonts w:hint="eastAsia" w:ascii="宋体" w:cs="宋体"/>
          <w:sz w:val="22"/>
          <w:szCs w:val="22"/>
          <w:u w:val="none"/>
        </w:rPr>
        <w:t>新疆乌鲁木齐市经济技术开发区（头屯河区）玄武湖路555号万达中心22楼2207室</w:t>
      </w:r>
      <w:r>
        <w:rPr>
          <w:rFonts w:hint="eastAsia" w:ascii="宋体" w:hAnsi="Times New Roman" w:eastAsia="宋体" w:cs="宋体"/>
          <w:kern w:val="2"/>
          <w:sz w:val="22"/>
          <w:szCs w:val="22"/>
          <w:u w:val="none"/>
          <w:lang w:val="en-US" w:eastAsia="zh-CN" w:bidi="ar-SA"/>
        </w:rPr>
        <w:t>）</w:t>
      </w:r>
      <w:r>
        <w:rPr>
          <w:rFonts w:hint="eastAsia" w:ascii="宋体" w:hAnsi="Times New Roman" w:eastAsia="宋体" w:cs="宋体"/>
          <w:kern w:val="2"/>
          <w:sz w:val="22"/>
          <w:szCs w:val="22"/>
          <w:lang w:val="en-US" w:eastAsia="zh-CN" w:bidi="ar-SA"/>
        </w:rPr>
        <w:t>携带证件及资料：</w:t>
      </w:r>
      <w:r>
        <w:rPr>
          <w:rFonts w:hint="eastAsia" w:ascii="宋体" w:hAnsi="Times New Roman" w:eastAsia="宋体" w:cs="宋体"/>
          <w:b/>
          <w:bCs/>
          <w:kern w:val="2"/>
          <w:sz w:val="22"/>
          <w:szCs w:val="22"/>
          <w:lang w:val="en-US" w:eastAsia="zh-CN" w:bidi="ar-SA"/>
        </w:rPr>
        <w:t>授权委托书（法人身份证、被授权人身份证）、营业执照、资质证书、安全生产许可证、注册建造师证书、安全生产考核合格证、信用中国网站（未被列入失信被执行人、重大税收违法失信主体）及中国政府采购网（政府采购严重违法失信行为记录名单）查询截图，上述资料的复印件加盖公章一套</w:t>
      </w:r>
      <w:r>
        <w:rPr>
          <w:rFonts w:hint="eastAsia" w:ascii="宋体" w:hAnsi="Times New Roman" w:eastAsia="宋体" w:cs="宋体"/>
          <w:kern w:val="2"/>
          <w:sz w:val="22"/>
          <w:szCs w:val="22"/>
          <w:lang w:val="en-US" w:eastAsia="zh-CN" w:bidi="ar-SA"/>
        </w:rPr>
        <w:t>，</w:t>
      </w:r>
      <w:r>
        <w:rPr>
          <w:rFonts w:hint="eastAsia" w:ascii="宋体" w:hAnsi="Times New Roman" w:eastAsia="宋体" w:cs="宋体"/>
          <w:b/>
          <w:bCs/>
          <w:kern w:val="2"/>
          <w:sz w:val="22"/>
          <w:szCs w:val="22"/>
          <w:lang w:val="en-US" w:eastAsia="zh-CN" w:bidi="ar-SA"/>
        </w:rPr>
        <w:t>缴费（现金）获取采购文件。</w:t>
      </w:r>
    </w:p>
    <w:p w14:paraId="4D76D004">
      <w:pPr>
        <w:pStyle w:val="4"/>
        <w:widowControl/>
        <w:spacing w:before="75" w:beforeAutospacing="0" w:after="75" w:afterAutospacing="0" w:line="300" w:lineRule="atLeast"/>
        <w:rPr>
          <w:rFonts w:hint="eastAsia" w:ascii="宋体" w:hAnsi="Times New Roman" w:eastAsia="宋体" w:cs="宋体"/>
          <w:b w:val="0"/>
          <w:bCs w:val="0"/>
          <w:kern w:val="2"/>
          <w:sz w:val="22"/>
          <w:szCs w:val="22"/>
          <w:lang w:val="en-US" w:eastAsia="zh-CN" w:bidi="ar-SA"/>
        </w:rPr>
      </w:pPr>
      <w:r>
        <w:rPr>
          <w:rFonts w:hint="eastAsia" w:hAnsi="Times New Roman" w:cs="宋体"/>
          <w:b w:val="0"/>
          <w:bCs w:val="0"/>
          <w:kern w:val="2"/>
          <w:sz w:val="22"/>
          <w:szCs w:val="22"/>
          <w:lang w:val="en-US" w:eastAsia="zh-CN" w:bidi="ar-SA"/>
        </w:rPr>
        <w:t>3</w:t>
      </w:r>
      <w:r>
        <w:rPr>
          <w:rFonts w:hint="eastAsia" w:ascii="宋体" w:hAnsi="Times New Roman" w:eastAsia="宋体" w:cs="宋体"/>
          <w:b w:val="0"/>
          <w:bCs w:val="0"/>
          <w:kern w:val="2"/>
          <w:sz w:val="22"/>
          <w:szCs w:val="22"/>
          <w:lang w:val="en-US" w:eastAsia="zh-CN" w:bidi="ar-SA"/>
        </w:rPr>
        <w:t>、本项目不接受进口产品投标(进口产品是指通过中国海关报关，验放进入中国境内，且产自关境外的产品)；</w:t>
      </w:r>
    </w:p>
    <w:p w14:paraId="5DAA1D05">
      <w:pPr>
        <w:pStyle w:val="4"/>
        <w:widowControl/>
        <w:spacing w:before="75" w:beforeAutospacing="0" w:after="75" w:afterAutospacing="0" w:line="300" w:lineRule="atLeast"/>
        <w:rPr>
          <w:rFonts w:hint="eastAsia" w:ascii="宋体" w:hAnsi="Times New Roman" w:eastAsia="宋体" w:cs="宋体"/>
          <w:b w:val="0"/>
          <w:bCs w:val="0"/>
          <w:kern w:val="2"/>
          <w:sz w:val="22"/>
          <w:szCs w:val="22"/>
          <w:lang w:val="en-US" w:eastAsia="zh-CN" w:bidi="ar-SA"/>
        </w:rPr>
      </w:pPr>
      <w:r>
        <w:rPr>
          <w:rFonts w:hint="eastAsia" w:hAnsi="Times New Roman" w:cs="宋体"/>
          <w:b w:val="0"/>
          <w:bCs w:val="0"/>
          <w:kern w:val="2"/>
          <w:sz w:val="22"/>
          <w:szCs w:val="22"/>
          <w:lang w:val="en-US" w:eastAsia="zh-CN" w:bidi="ar-SA"/>
        </w:rPr>
        <w:t>4</w:t>
      </w:r>
      <w:r>
        <w:rPr>
          <w:rFonts w:hint="eastAsia" w:ascii="宋体" w:hAnsi="Times New Roman" w:eastAsia="宋体" w:cs="宋体"/>
          <w:b w:val="0"/>
          <w:bCs w:val="0"/>
          <w:kern w:val="2"/>
          <w:sz w:val="22"/>
          <w:szCs w:val="22"/>
          <w:lang w:val="en-US" w:eastAsia="zh-CN" w:bidi="ar-SA"/>
        </w:rPr>
        <w:t>、本项目采购活动将严格落实节约能源、保护环境、扶持不发达地区和少数民族地区、促进中小企业发展、平等对待内外资企业等政府采购政策；</w:t>
      </w:r>
    </w:p>
    <w:p w14:paraId="4FB899B4">
      <w:pPr>
        <w:pStyle w:val="4"/>
        <w:widowControl/>
        <w:spacing w:before="75" w:beforeAutospacing="0" w:after="75" w:afterAutospacing="0" w:line="300" w:lineRule="atLeast"/>
        <w:rPr>
          <w:rFonts w:hint="eastAsia" w:ascii="宋体" w:hAnsi="Times New Roman" w:eastAsia="宋体" w:cs="宋体"/>
          <w:b w:val="0"/>
          <w:bCs w:val="0"/>
          <w:kern w:val="2"/>
          <w:sz w:val="22"/>
          <w:szCs w:val="22"/>
          <w:lang w:val="en-US" w:eastAsia="zh-CN" w:bidi="ar-SA"/>
        </w:rPr>
      </w:pPr>
      <w:r>
        <w:rPr>
          <w:rFonts w:hint="eastAsia" w:hAnsi="Times New Roman" w:cs="宋体"/>
          <w:b w:val="0"/>
          <w:bCs w:val="0"/>
          <w:kern w:val="2"/>
          <w:sz w:val="22"/>
          <w:szCs w:val="22"/>
          <w:lang w:val="en-US" w:eastAsia="zh-CN" w:bidi="ar-SA"/>
        </w:rPr>
        <w:t>5</w:t>
      </w:r>
      <w:r>
        <w:rPr>
          <w:rFonts w:hint="eastAsia" w:ascii="宋体" w:hAnsi="Times New Roman" w:eastAsia="宋体" w:cs="宋体"/>
          <w:b w:val="0"/>
          <w:bCs w:val="0"/>
          <w:kern w:val="2"/>
          <w:sz w:val="22"/>
          <w:szCs w:val="22"/>
          <w:lang w:val="en-US" w:eastAsia="zh-CN" w:bidi="ar-SA"/>
        </w:rPr>
        <w:t>、本招标公告在中国政府采购网（www.ccgp.gov.cn）和中华人民共和国乌鲁木齐海关门户网（http://urumqi.customs.gov.cn）同时发布，二者如有差异，以中国政府采购网公告信息为准。</w:t>
      </w:r>
    </w:p>
    <w:p w14:paraId="74089C14">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特别提示：</w:t>
      </w:r>
    </w:p>
    <w:p w14:paraId="5A8947B8">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1、采购限额标准以上，200万元以下的货物和服务采购项目、400万元以下的工程采购项目，适宜由中小企业提供的，采购人应当专门面向中小企业采购。</w:t>
      </w:r>
    </w:p>
    <w:p w14:paraId="246F638A">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2、超过200万元的货物和服务采购项目、超过400万元的工程采购项目中适宜由中小企业提供的，预留该部分采购项目预算总额的30%以上专门面向中小企业采购，其中预留给小微企业的比例不低于60%。</w:t>
      </w:r>
    </w:p>
    <w:p w14:paraId="0774F54B">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3、对于未预留份额专门面向中小企业的采购项目，以及预留份额项目中的非预留部分采购包，采购人、采购代理机构应当对符合规定的小微企业报价给予10%~20%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14:paraId="5B9F2BF6">
      <w:pPr>
        <w:pStyle w:val="4"/>
        <w:widowControl/>
        <w:spacing w:before="75" w:beforeAutospacing="0" w:after="75" w:afterAutospacing="0" w:line="300" w:lineRule="atLeast"/>
        <w:rPr>
          <w:rStyle w:val="8"/>
          <w:rFonts w:hint="eastAsia" w:ascii="宋体" w:hAnsi="宋体" w:eastAsia="宋体" w:cs="宋体"/>
          <w:b w:val="0"/>
          <w:bCs w:val="0"/>
          <w:sz w:val="21"/>
          <w:szCs w:val="21"/>
          <w:highlight w:val="none"/>
          <w:lang w:val="en-US" w:eastAsia="zh-CN"/>
        </w:rPr>
      </w:pPr>
      <w:r>
        <w:rPr>
          <w:rFonts w:hint="eastAsia" w:ascii="宋体" w:hAnsi="Times New Roman" w:eastAsia="宋体" w:cs="宋体"/>
          <w:kern w:val="2"/>
          <w:sz w:val="22"/>
          <w:szCs w:val="22"/>
          <w:lang w:val="en-US" w:eastAsia="zh-CN" w:bidi="ar-SA"/>
        </w:rPr>
        <w:t>4、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4%~6%（工程项目为1%~2%）的扣除，用扣除后的价格参加评审。适用招标投标法的政府采购工程建设项目，采用综合评估法但未采用低价优先法计算价格分的，评标时应当在采用原报价进行评分的基础上增加其价格得分的1%~2%作为其价格分。</w:t>
      </w:r>
    </w:p>
    <w:p w14:paraId="48DC7A5F">
      <w:pPr>
        <w:spacing w:line="240" w:lineRule="auto"/>
        <w:rPr>
          <w:rFonts w:ascii="宋体" w:cs="宋体"/>
          <w:sz w:val="22"/>
          <w:szCs w:val="22"/>
        </w:rPr>
      </w:pPr>
      <w:r>
        <w:rPr>
          <w:rFonts w:hint="eastAsia" w:ascii="宋体" w:cs="宋体"/>
          <w:b/>
          <w:bCs/>
          <w:sz w:val="22"/>
          <w:szCs w:val="22"/>
        </w:rPr>
        <w:t>八、凡对本次采购提出询问，请按以下方式联系。</w:t>
      </w:r>
      <w:bookmarkEnd w:id="25"/>
      <w:bookmarkEnd w:id="26"/>
      <w:bookmarkEnd w:id="27"/>
      <w:bookmarkEnd w:id="28"/>
    </w:p>
    <w:p w14:paraId="69C5B3F5">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1.采购人信息</w:t>
      </w:r>
    </w:p>
    <w:p w14:paraId="715803ED">
      <w:pPr>
        <w:pStyle w:val="4"/>
        <w:widowControl/>
        <w:spacing w:beforeAutospacing="0" w:afterAutospacing="0" w:line="240" w:lineRule="auto"/>
        <w:ind w:firstLine="0"/>
        <w:rPr>
          <w:rFonts w:hint="eastAsia" w:ascii="宋体" w:eastAsia="宋体" w:cs="宋体"/>
          <w:sz w:val="22"/>
          <w:szCs w:val="22"/>
        </w:rPr>
      </w:pPr>
      <w:r>
        <w:rPr>
          <w:rFonts w:hint="eastAsia" w:ascii="宋体" w:eastAsia="宋体" w:cs="宋体"/>
          <w:sz w:val="22"/>
          <w:szCs w:val="22"/>
        </w:rPr>
        <w:t>名 称：</w:t>
      </w:r>
      <w:r>
        <w:rPr>
          <w:rFonts w:hint="eastAsia" w:ascii="宋体" w:eastAsia="宋体" w:cs="宋体"/>
          <w:sz w:val="22"/>
          <w:szCs w:val="22"/>
          <w:lang w:eastAsia="zh-CN"/>
        </w:rPr>
        <w:t>中华人民共和国阿拉山口海关</w:t>
      </w:r>
      <w:r>
        <w:rPr>
          <w:rFonts w:hint="eastAsia" w:ascii="宋体" w:eastAsia="宋体" w:cs="宋体"/>
          <w:sz w:val="22"/>
          <w:szCs w:val="22"/>
        </w:rPr>
        <w:t xml:space="preserve"> </w:t>
      </w:r>
    </w:p>
    <w:p w14:paraId="72B66F25">
      <w:pPr>
        <w:pStyle w:val="4"/>
        <w:widowControl/>
        <w:spacing w:beforeAutospacing="0" w:afterAutospacing="0" w:line="240" w:lineRule="auto"/>
        <w:ind w:firstLine="0"/>
        <w:rPr>
          <w:rFonts w:hint="eastAsia" w:ascii="宋体" w:eastAsia="宋体" w:cs="宋体"/>
          <w:sz w:val="22"/>
          <w:szCs w:val="22"/>
          <w:lang w:eastAsia="zh-CN"/>
        </w:rPr>
      </w:pPr>
      <w:r>
        <w:rPr>
          <w:rFonts w:hint="eastAsia" w:ascii="宋体" w:eastAsia="宋体" w:cs="宋体"/>
          <w:sz w:val="22"/>
          <w:szCs w:val="22"/>
        </w:rPr>
        <w:t>地 址：</w:t>
      </w:r>
      <w:r>
        <w:rPr>
          <w:rFonts w:hint="eastAsia" w:ascii="宋体" w:eastAsia="宋体" w:cs="宋体"/>
          <w:sz w:val="22"/>
          <w:szCs w:val="22"/>
          <w:lang w:eastAsia="zh-CN"/>
        </w:rPr>
        <w:t>新疆维吾尔自治区博尔塔拉蒙古自治州阿拉山口市</w:t>
      </w:r>
    </w:p>
    <w:p w14:paraId="59A371FE">
      <w:pPr>
        <w:pStyle w:val="4"/>
        <w:widowControl/>
        <w:spacing w:before="75" w:beforeAutospacing="0" w:after="75" w:afterAutospacing="0" w:line="300" w:lineRule="atLeast"/>
        <w:rPr>
          <w:rFonts w:hint="eastAsia" w:cs="宋体"/>
          <w:sz w:val="22"/>
          <w:szCs w:val="22"/>
          <w:lang w:eastAsia="zh-CN"/>
        </w:rPr>
      </w:pPr>
      <w:r>
        <w:rPr>
          <w:rFonts w:hint="eastAsia" w:ascii="宋体" w:eastAsia="宋体" w:cs="宋体"/>
          <w:sz w:val="22"/>
          <w:szCs w:val="22"/>
        </w:rPr>
        <w:t>联系方式：</w:t>
      </w:r>
      <w:r>
        <w:rPr>
          <w:rFonts w:hint="eastAsia" w:ascii="宋体" w:eastAsia="宋体" w:cs="宋体"/>
          <w:sz w:val="22"/>
          <w:szCs w:val="22"/>
          <w:lang w:eastAsia="zh-CN"/>
        </w:rPr>
        <w:t>0909-88933</w:t>
      </w:r>
      <w:r>
        <w:rPr>
          <w:rFonts w:hint="eastAsia" w:cs="宋体"/>
          <w:sz w:val="22"/>
          <w:szCs w:val="22"/>
          <w:lang w:val="en-US" w:eastAsia="zh-CN"/>
        </w:rPr>
        <w:t>03</w:t>
      </w:r>
      <w:r>
        <w:rPr>
          <w:rFonts w:hint="eastAsia" w:cs="宋体"/>
          <w:sz w:val="22"/>
          <w:szCs w:val="22"/>
          <w:lang w:eastAsia="zh-CN"/>
        </w:rPr>
        <w:t>（</w:t>
      </w:r>
      <w:r>
        <w:rPr>
          <w:rFonts w:hint="eastAsia" w:cs="宋体"/>
          <w:sz w:val="22"/>
          <w:szCs w:val="22"/>
          <w:lang w:val="en-US" w:eastAsia="zh-CN"/>
        </w:rPr>
        <w:t>工作业务电话</w:t>
      </w:r>
      <w:r>
        <w:rPr>
          <w:rFonts w:hint="eastAsia" w:cs="宋体"/>
          <w:sz w:val="22"/>
          <w:szCs w:val="22"/>
          <w:lang w:eastAsia="zh-CN"/>
        </w:rPr>
        <w:t>）</w:t>
      </w:r>
    </w:p>
    <w:p w14:paraId="14537FF0">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2.采购代理机构信息</w:t>
      </w:r>
    </w:p>
    <w:p w14:paraId="6201B9A6">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名 称：新疆银桥工程项目咨询有限公司</w:t>
      </w:r>
    </w:p>
    <w:p w14:paraId="383B1AC2">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地 址：新疆乌鲁木齐市经济技术开发区（头屯河区）玄武湖路555号万达中心22楼2207室</w:t>
      </w:r>
    </w:p>
    <w:p w14:paraId="20A58CC5">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联系方式：李昊、张婷、尚悦 0991-5261912（工作业务电话）</w:t>
      </w:r>
    </w:p>
    <w:p w14:paraId="1C9FE1AB">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3.项目联系方式</w:t>
      </w:r>
    </w:p>
    <w:p w14:paraId="07936307">
      <w:pPr>
        <w:pStyle w:val="4"/>
        <w:widowControl/>
        <w:spacing w:before="75" w:beforeAutospacing="0" w:after="75" w:afterAutospacing="0" w:line="300" w:lineRule="atLeast"/>
        <w:rPr>
          <w:rFonts w:hint="eastAsia" w:ascii="宋体" w:hAnsi="Times New Roman" w:eastAsia="宋体" w:cs="宋体"/>
          <w:kern w:val="2"/>
          <w:sz w:val="22"/>
          <w:szCs w:val="22"/>
          <w:lang w:val="en-US" w:eastAsia="zh-CN" w:bidi="ar-SA"/>
        </w:rPr>
      </w:pPr>
      <w:r>
        <w:rPr>
          <w:rFonts w:hint="eastAsia" w:ascii="宋体" w:hAnsi="Times New Roman" w:eastAsia="宋体" w:cs="宋体"/>
          <w:kern w:val="2"/>
          <w:sz w:val="22"/>
          <w:szCs w:val="22"/>
          <w:lang w:val="en-US" w:eastAsia="zh-CN" w:bidi="ar-SA"/>
        </w:rPr>
        <w:t xml:space="preserve">项目联系人：李昊、张婷、尚悦         </w:t>
      </w:r>
    </w:p>
    <w:p w14:paraId="68FD3A45">
      <w:r>
        <w:rPr>
          <w:rFonts w:hint="eastAsia" w:ascii="宋体" w:hAnsi="Times New Roman" w:eastAsia="宋体" w:cs="宋体"/>
          <w:kern w:val="2"/>
          <w:sz w:val="22"/>
          <w:szCs w:val="22"/>
          <w:lang w:val="en-US" w:eastAsia="zh-CN" w:bidi="ar-SA"/>
        </w:rPr>
        <w:t>联系方式：0991-5261912（工作业务电话）</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5A253D"/>
    <w:rsid w:val="355A25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9"/>
    <w:pPr>
      <w:spacing w:line="240" w:lineRule="auto"/>
      <w:jc w:val="center"/>
      <w:outlineLvl w:val="0"/>
    </w:pPr>
    <w:rPr>
      <w:rFonts w:ascii="仿宋" w:hAnsi="仿宋" w:eastAsia="仿宋" w:cs="宋体"/>
      <w:sz w:val="32"/>
      <w:szCs w:val="28"/>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header"/>
    <w:basedOn w:val="1"/>
    <w:next w:val="1"/>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5</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2025-10-20T08:22:00Z</dcterms:created>
  <dc:creator>张张张张张。</dc:creator>
  <cp:lastModifiedBy>张张张张张。</cp:lastModifiedBy>
  <dcterms:modified xsi:type="dcterms:W3CDTF">2025-10-20T08:28:44Z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6340330D060D41C39D06F094AD1991FF_11</vt:lpwstr>
  </property>
  <property fmtid="{D5CDD505-2E9C-101B-9397-08002B2CF9AE}" pid="4" name="KSOTemplateDocerSaveRecord">
    <vt:lpwstr>eyJoZGlkIjoiOTE5OGRhYzcwODg0MzVjZDlmYWI1ODQ0NGU1NTVkNzIiLCJ1c2VySWQiOiIyNjk0NzY1NTgifQ==</vt:lpwstr>
  </property>
</Properties>
</file>