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6"/>
        <w:spacing w:before="75" w:beforeAutospacing="0" w:after="75" w:afterAutospacing="0" w:line="360" w:lineRule="auto"/>
        <w:jc w:val="center"/>
        <w:outlineLvl w:val="0"/>
        <w:rPr>
          <w:rFonts w:hint="eastAsia"/>
          <w:b/>
          <w:bCs/>
          <w:sz w:val="30"/>
          <w:szCs w:val="30"/>
          <w:lang w:val="en-US" w:eastAsia="zh-CN"/>
        </w:rPr>
      </w:pPr>
      <w:bookmarkStart w:id="0" w:name="_Toc22509"/>
      <w:bookmarkStart w:id="1" w:name="_Toc19506"/>
      <w:r>
        <w:rPr>
          <w:rFonts w:hint="eastAsia"/>
          <w:b/>
          <w:bCs/>
          <w:sz w:val="30"/>
          <w:szCs w:val="30"/>
          <w:lang w:val="en-US" w:eastAsia="zh-CN"/>
        </w:rPr>
        <w:t>伊尔克什坦海关、阿勒泰海关太阳能供电设备采购项目</w:t>
      </w:r>
    </w:p>
    <w:p>
      <w:pPr>
        <w:pStyle w:val="16"/>
        <w:spacing w:before="75" w:beforeAutospacing="0" w:after="75" w:afterAutospacing="0" w:line="360" w:lineRule="auto"/>
        <w:jc w:val="center"/>
        <w:outlineLvl w:val="0"/>
        <w:rPr>
          <w:b/>
          <w:bCs/>
          <w:sz w:val="30"/>
          <w:szCs w:val="30"/>
        </w:rPr>
      </w:pPr>
      <w:r>
        <w:rPr>
          <w:rFonts w:hint="eastAsia"/>
          <w:b/>
          <w:bCs/>
          <w:sz w:val="30"/>
          <w:szCs w:val="30"/>
          <w:lang w:val="en-US" w:eastAsia="zh-CN"/>
        </w:rPr>
        <w:t>公开</w:t>
      </w:r>
      <w:r>
        <w:rPr>
          <w:rFonts w:hint="eastAsia"/>
          <w:b/>
          <w:bCs/>
          <w:sz w:val="30"/>
          <w:szCs w:val="30"/>
        </w:rPr>
        <w:t>招标公告</w:t>
      </w:r>
      <w:bookmarkEnd w:id="0"/>
      <w:bookmarkEnd w:id="1"/>
    </w:p>
    <w:p>
      <w:pPr>
        <w:pStyle w:val="16"/>
        <w:spacing w:before="75" w:beforeAutospacing="0" w:after="75" w:afterAutospacing="0" w:line="360" w:lineRule="auto"/>
        <w:jc w:val="both"/>
        <w:outlineLvl w:val="0"/>
      </w:pPr>
      <w:r>
        <w:rPr>
          <w:sz w:val="31"/>
        </w:rPr>
        <mc:AlternateContent>
          <mc:Choice Requires="wps">
            <w:drawing>
              <wp:anchor distT="0" distB="0" distL="114298" distR="114298" simplePos="0" relativeHeight="10" behindDoc="0" locked="0" layoutInCell="1" hidden="0" allowOverlap="1">
                <wp:simplePos x="0" y="0"/>
                <wp:positionH relativeFrom="column">
                  <wp:posOffset>-202565</wp:posOffset>
                </wp:positionH>
                <wp:positionV relativeFrom="paragraph">
                  <wp:posOffset>146685</wp:posOffset>
                </wp:positionV>
                <wp:extent cx="5819140" cy="1405255"/>
                <wp:effectExtent l="0" t="0" r="0" b="0"/>
                <wp:wrapTight wrapText="bothSides">
                  <wp:wrapPolygon>
                    <wp:start x="-16" y="-68"/>
                    <wp:lineTo x="-16" y="21307"/>
                    <wp:lineTo x="21551" y="21307"/>
                    <wp:lineTo x="21551" y="-68"/>
                    <wp:lineTo x="-16" y="-68"/>
                  </wp:wrapPolygon>
                </wp:wrapTight>
                <wp:docPr id="1" name="文本框 1"/>
                <wp:cNvGraphicFramePr>
                  <a:graphicFrameLocks noChangeAspect="0"/>
                </wp:cNvGraphicFramePr>
                <a:graphic>
                  <a:graphicData uri="http://schemas.microsoft.com/office/word/2010/wordprocessingShape">
                    <wps:wsp>
                      <wps:cNvSpPr/>
                      <wps:spPr>
                        <a:xfrm rot="0">
                          <a:off x="0" y="0"/>
                          <a:ext cx="5819140" cy="1405255"/>
                        </a:xfrm>
                        <a:prstGeom prst="rect"/>
                        <a:solidFill>
                          <a:srgbClr val="FFFFFF"/>
                        </a:solidFill>
                        <a:ln w="6350" cmpd="sng" cap="flat">
                          <a:solidFill>
                            <a:srgbClr val="000000"/>
                          </a:solidFill>
                          <a:prstDash val="solid"/>
                          <a:round/>
                        </a:ln>
                      </wps:spPr>
                      <wps:txbx id="2">
                        <w:txbxContent>
                          <w:p>
                            <w:pPr>
                              <w:pStyle w:val="16"/>
                              <w:spacing w:before="75" w:beforeAutospacing="0" w:after="75" w:afterAutospacing="0" w:line="360" w:lineRule="auto"/>
                            </w:pPr>
                            <w:r>
                              <w:rPr>
                                <w:rFonts w:hint="eastAsia"/>
                                <w:color w:val="000000"/>
                              </w:rPr>
                              <w:t>项目概况</w:t>
                            </w:r>
                          </w:p>
                          <w:p>
                            <w:pPr>
                              <w:pStyle w:val="16"/>
                              <w:spacing w:before="75" w:beforeAutospacing="0" w:after="75" w:afterAutospacing="0" w:line="360" w:lineRule="auto"/>
                              <w:ind w:firstLineChars="200" w:firstLine="480"/>
                            </w:pPr>
                            <w:r>
                              <w:rPr>
                                <w:rFonts w:hint="eastAsia"/>
                                <w:color w:val="000000"/>
                                <w:u w:val="single"/>
                                <w:lang w:val="en-US" w:eastAsia="zh-CN"/>
                              </w:rPr>
                              <w:t>伊尔克什坦海关、阿勒泰海关太阳能供电设备采购项目</w:t>
                            </w:r>
                            <w:r>
                              <w:rPr>
                                <w:rFonts w:hint="eastAsia"/>
                                <w:color w:val="000000"/>
                              </w:rPr>
                              <w:t>招标项目的投标供应商应在</w:t>
                            </w:r>
                            <w:r>
                              <w:rPr>
                                <w:rFonts w:hint="eastAsia"/>
                                <w:color w:val="000000"/>
                                <w:u w:val="single"/>
                              </w:rPr>
                              <w:t>乌鲁木齐市会展大道1119号大成尔雅A座</w:t>
                            </w:r>
                            <w:r>
                              <w:rPr>
                                <w:rFonts w:hint="eastAsia"/>
                                <w:color w:val="000000"/>
                                <w:u w:val="single"/>
                                <w:lang w:val="en-US" w:eastAsia="zh-CN"/>
                              </w:rPr>
                              <w:t>5楼505</w:t>
                            </w:r>
                            <w:r>
                              <w:rPr>
                                <w:rFonts w:hint="eastAsia"/>
                                <w:color w:val="000000"/>
                                <w:u w:val="single"/>
                              </w:rPr>
                              <w:t>室</w:t>
                            </w:r>
                            <w:r>
                              <w:rPr>
                                <w:rFonts w:hint="eastAsia"/>
                                <w:color w:val="000000"/>
                              </w:rPr>
                              <w:t>获取采购文件，并于</w:t>
                            </w:r>
                            <w:r>
                              <w:rPr>
                                <w:rFonts w:hint="eastAsia"/>
                                <w:color w:val="000000"/>
                                <w:u w:val="single"/>
                              </w:rPr>
                              <w:t>202</w:t>
                            </w:r>
                            <w:r>
                              <w:rPr>
                                <w:rFonts w:hint="eastAsia"/>
                                <w:color w:val="000000"/>
                                <w:u w:val="single"/>
                                <w:lang w:val="en-US" w:eastAsia="zh-CN"/>
                              </w:rPr>
                              <w:t>5</w:t>
                            </w:r>
                            <w:r>
                              <w:rPr>
                                <w:rFonts w:hint="eastAsia"/>
                                <w:color w:val="000000"/>
                                <w:u w:val="single"/>
                              </w:rPr>
                              <w:t>年</w:t>
                            </w:r>
                            <w:r>
                              <w:rPr>
                                <w:rFonts w:hint="eastAsia"/>
                                <w:color w:val="000000"/>
                                <w:u w:val="single"/>
                                <w:lang w:val="en-US" w:eastAsia="zh-CN"/>
                              </w:rPr>
                              <w:t>9</w:t>
                            </w:r>
                            <w:r>
                              <w:rPr>
                                <w:rFonts w:hint="eastAsia"/>
                                <w:color w:val="000000"/>
                                <w:u w:val="single"/>
                              </w:rPr>
                              <w:t>月</w:t>
                            </w:r>
                            <w:r>
                              <w:rPr>
                                <w:rFonts w:hint="eastAsia"/>
                                <w:color w:val="000000"/>
                                <w:u w:val="single"/>
                                <w:lang w:val="en-US" w:eastAsia="zh-CN"/>
                              </w:rPr>
                              <w:t>29</w:t>
                            </w:r>
                            <w:r>
                              <w:rPr>
                                <w:rFonts w:hint="eastAsia"/>
                                <w:color w:val="000000"/>
                                <w:u w:val="single"/>
                              </w:rPr>
                              <w:t>日</w:t>
                            </w:r>
                            <w:r>
                              <w:rPr>
                                <w:rFonts w:hint="eastAsia"/>
                                <w:color w:val="000000"/>
                                <w:u w:val="single"/>
                                <w:lang w:val="en-US" w:eastAsia="zh-CN"/>
                              </w:rPr>
                              <w:t>11</w:t>
                            </w:r>
                            <w:r>
                              <w:rPr>
                                <w:rFonts w:hint="eastAsia"/>
                                <w:color w:val="000000"/>
                                <w:u w:val="single"/>
                              </w:rPr>
                              <w:t>点00分</w:t>
                            </w:r>
                            <w:r>
                              <w:rPr>
                                <w:rFonts w:hint="eastAsia"/>
                                <w:color w:val="000000"/>
                              </w:rPr>
                              <w:t>（北京时间）前递交投标文件。</w:t>
                            </w:r>
                          </w:p>
                        </w:txbxContent>
                      </wps:txbx>
                      <wps:bodyPr vert="horz" wrap="square" lIns="91440" tIns="45720" rIns="91440" bIns="45720" anchor="t" anchorCtr="0" upright="0">
                        <a:noAutofit/>
                      </wps:bodyPr>
                    </wps:wsp>
                  </a:graphicData>
                </a:graphic>
              </wp:anchor>
            </w:drawing>
          </mc:Choice>
          <mc:Fallback>
            <w:pict>
              <v:shape type="#_x0000_t202" id="文本框 1 3" o:spid="_x0000_s3" fillcolor="#FFFFFF" stroked="t" strokeweight="0.5pt" wrapcoords="-16 -68 -16 21307 21551 21307 21551 -68 -16 -68" style="position:absolute;margin-left:-15.95pt;margin-top:11.55pt;width:458.19998pt;height:110.65pt;z-index:10;mso-position-horizontal:absolute;mso-position-vertical:absolute;mso-wrap-distance-left:8.999863pt;mso-wrap-distance-right:8.999863pt;mso-wrap-style:square;">
                <v:stroke color="#000000"/>
                <v:textbox id="848" inset="2.54mm,1.27mm,2.54mm,1.27mm" o:insetmode="custom" style="layout-flow:horizontal;v-text-anchor:top;">
                  <w:txbxContent>
                    <w:p>
                      <w:pPr>
                        <w:pStyle w:val="16"/>
                        <w:spacing w:before="75" w:beforeAutospacing="0" w:after="75" w:afterAutospacing="0" w:line="360" w:lineRule="auto"/>
                      </w:pPr>
                      <w:r>
                        <w:rPr>
                          <w:rFonts w:hint="eastAsia"/>
                          <w:color w:val="000000"/>
                        </w:rPr>
                        <w:t>项目概况</w:t>
                      </w:r>
                    </w:p>
                    <w:p>
                      <w:pPr>
                        <w:pStyle w:val="16"/>
                        <w:spacing w:before="75" w:beforeAutospacing="0" w:after="75" w:afterAutospacing="0" w:line="360" w:lineRule="auto"/>
                        <w:ind w:firstLineChars="200" w:firstLine="480"/>
                      </w:pPr>
                      <w:r>
                        <w:rPr>
                          <w:rFonts w:hint="eastAsia"/>
                          <w:color w:val="000000"/>
                          <w:u w:val="single"/>
                          <w:lang w:val="en-US" w:eastAsia="zh-CN"/>
                        </w:rPr>
                        <w:t>伊尔克什坦海关、阿勒泰海关太阳能供电设备采购项目</w:t>
                      </w:r>
                      <w:r>
                        <w:rPr>
                          <w:rFonts w:hint="eastAsia"/>
                          <w:color w:val="000000"/>
                        </w:rPr>
                        <w:t>招标项目的投标供应商应在</w:t>
                      </w:r>
                      <w:r>
                        <w:rPr>
                          <w:rFonts w:hint="eastAsia"/>
                          <w:color w:val="000000"/>
                          <w:u w:val="single"/>
                        </w:rPr>
                        <w:t>乌鲁木齐市会展大道1119号大成尔雅A座</w:t>
                      </w:r>
                      <w:r>
                        <w:rPr>
                          <w:rFonts w:hint="eastAsia"/>
                          <w:color w:val="000000"/>
                          <w:u w:val="single"/>
                          <w:lang w:val="en-US" w:eastAsia="zh-CN"/>
                        </w:rPr>
                        <w:t>5楼505</w:t>
                      </w:r>
                      <w:r>
                        <w:rPr>
                          <w:rFonts w:hint="eastAsia"/>
                          <w:color w:val="000000"/>
                          <w:u w:val="single"/>
                        </w:rPr>
                        <w:t>室</w:t>
                      </w:r>
                      <w:r>
                        <w:rPr>
                          <w:rFonts w:hint="eastAsia"/>
                          <w:color w:val="000000"/>
                        </w:rPr>
                        <w:t>获取采购文件，并于</w:t>
                      </w:r>
                      <w:r>
                        <w:rPr>
                          <w:rFonts w:hint="eastAsia"/>
                          <w:color w:val="000000"/>
                          <w:u w:val="single"/>
                        </w:rPr>
                        <w:t>202</w:t>
                      </w:r>
                      <w:r>
                        <w:rPr>
                          <w:rFonts w:hint="eastAsia"/>
                          <w:color w:val="000000"/>
                          <w:u w:val="single"/>
                          <w:lang w:val="en-US" w:eastAsia="zh-CN"/>
                        </w:rPr>
                        <w:t>5</w:t>
                      </w:r>
                      <w:r>
                        <w:rPr>
                          <w:rFonts w:hint="eastAsia"/>
                          <w:color w:val="000000"/>
                          <w:u w:val="single"/>
                        </w:rPr>
                        <w:t>年</w:t>
                      </w:r>
                      <w:r>
                        <w:rPr>
                          <w:rFonts w:hint="eastAsia"/>
                          <w:color w:val="000000"/>
                          <w:u w:val="single"/>
                          <w:lang w:val="en-US" w:eastAsia="zh-CN"/>
                        </w:rPr>
                        <w:t>9</w:t>
                      </w:r>
                      <w:r>
                        <w:rPr>
                          <w:rFonts w:hint="eastAsia"/>
                          <w:color w:val="000000"/>
                          <w:u w:val="single"/>
                        </w:rPr>
                        <w:t>月</w:t>
                      </w:r>
                      <w:r>
                        <w:rPr>
                          <w:rFonts w:hint="eastAsia"/>
                          <w:color w:val="000000"/>
                          <w:u w:val="single"/>
                          <w:lang w:val="en-US" w:eastAsia="zh-CN"/>
                        </w:rPr>
                        <w:t>29</w:t>
                      </w:r>
                      <w:r>
                        <w:rPr>
                          <w:rFonts w:hint="eastAsia"/>
                          <w:color w:val="000000"/>
                          <w:u w:val="single"/>
                        </w:rPr>
                        <w:t>日</w:t>
                      </w:r>
                      <w:r>
                        <w:rPr>
                          <w:rFonts w:hint="eastAsia"/>
                          <w:color w:val="000000"/>
                          <w:u w:val="single"/>
                          <w:lang w:val="en-US" w:eastAsia="zh-CN"/>
                        </w:rPr>
                        <w:t>11</w:t>
                      </w:r>
                      <w:r>
                        <w:rPr>
                          <w:rFonts w:hint="eastAsia"/>
                          <w:color w:val="000000"/>
                          <w:u w:val="single"/>
                        </w:rPr>
                        <w:t>点00分</w:t>
                      </w:r>
                      <w:r>
                        <w:rPr>
                          <w:rFonts w:hint="eastAsia"/>
                          <w:color w:val="000000"/>
                        </w:rPr>
                        <w:t>（北京时间）前递交投标文件。</w:t>
                      </w:r>
                    </w:p>
                  </w:txbxContent>
                </v:textbox>
                <w10:wrap type="tight"/>
              </v:shape>
            </w:pict>
          </mc:Fallback>
        </mc:AlternateContent>
      </w:r>
      <w:bookmarkStart w:id="2" w:name="_GoBack"/>
      <w:bookmarkEnd w:id="2"/>
      <w:r>
        <w:rPr>
          <w:rStyle w:val="17"/>
          <w:rFonts w:hint="eastAsia"/>
        </w:rPr>
        <w:t>一、项目基本情况</w:t>
      </w:r>
    </w:p>
    <w:p>
      <w:pPr>
        <w:pStyle w:val="16"/>
        <w:spacing w:before="75" w:beforeAutospacing="0" w:after="75" w:afterAutospacing="0" w:line="360" w:lineRule="auto"/>
        <w:rPr>
          <w:rFonts w:eastAsia="宋体"/>
          <w:lang w:val="en-US" w:eastAsia="zh-CN"/>
        </w:rPr>
      </w:pPr>
      <w:r>
        <w:rPr>
          <w:rFonts w:hint="eastAsia"/>
        </w:rPr>
        <w:t>项目编号：</w:t>
      </w:r>
      <w:r>
        <w:rPr>
          <w:rFonts w:hint="eastAsia"/>
          <w:lang w:eastAsia="zh-CN"/>
        </w:rPr>
        <w:t>ZZ2025-</w:t>
      </w:r>
      <w:r>
        <w:rPr>
          <w:rFonts w:hint="eastAsia"/>
          <w:lang w:val="en-US" w:eastAsia="zh-CN"/>
        </w:rPr>
        <w:t>174</w:t>
      </w:r>
    </w:p>
    <w:p>
      <w:pPr>
        <w:pStyle w:val="16"/>
        <w:spacing w:before="75" w:beforeAutospacing="0" w:after="75" w:afterAutospacing="0" w:line="360" w:lineRule="auto"/>
        <w:ind w:left="1058" w:hangingChars="441" w:hanging="1058"/>
        <w:rPr>
          <w:rFonts w:hint="eastAsia"/>
          <w:lang w:val="en-US" w:eastAsia="zh-CN"/>
        </w:rPr>
      </w:pPr>
      <w:r>
        <w:rPr>
          <w:rFonts w:hint="eastAsia"/>
        </w:rPr>
        <w:t>项目名称：</w:t>
      </w:r>
      <w:r>
        <w:rPr>
          <w:rFonts w:hint="eastAsia"/>
          <w:lang w:val="en-US" w:eastAsia="zh-CN"/>
        </w:rPr>
        <w:t>伊尔克什坦海关、阿勒泰海关太阳能供电设备采购项目</w:t>
      </w:r>
    </w:p>
    <w:p>
      <w:pPr>
        <w:pStyle w:val="16"/>
        <w:spacing w:before="75" w:beforeAutospacing="0" w:after="75" w:afterAutospacing="0" w:line="360" w:lineRule="auto"/>
        <w:rPr>
          <w:rFonts w:eastAsia="宋体"/>
          <w:lang w:val="en-US" w:eastAsia="zh-CN"/>
          <w:highlight w:val="auto"/>
        </w:rPr>
      </w:pPr>
      <w:r>
        <w:rPr>
          <w:rFonts w:hint="eastAsia"/>
          <w:highlight w:val="auto"/>
        </w:rPr>
        <w:t>预算金额（元）：</w:t>
      </w:r>
      <w:r>
        <w:rPr>
          <w:rFonts w:hint="eastAsia"/>
          <w:lang w:val="en-US" w:eastAsia="zh-CN"/>
          <w:highlight w:val="auto"/>
        </w:rPr>
        <w:t>3800000.00</w:t>
      </w:r>
    </w:p>
    <w:p>
      <w:pPr>
        <w:pStyle w:val="16"/>
        <w:spacing w:before="75" w:beforeAutospacing="0" w:after="75" w:afterAutospacing="0" w:line="360" w:lineRule="auto"/>
        <w:rPr>
          <w:lang w:val="en-US"/>
          <w:highlight w:val="auto"/>
        </w:rPr>
      </w:pPr>
      <w:r>
        <w:rPr>
          <w:rFonts w:hint="eastAsia"/>
          <w:highlight w:val="auto"/>
        </w:rPr>
        <w:t>最高限价（元）：</w:t>
      </w:r>
      <w:r>
        <w:rPr>
          <w:rFonts w:hint="eastAsia"/>
          <w:lang w:val="en-US" w:eastAsia="zh-CN"/>
          <w:highlight w:val="auto"/>
        </w:rPr>
        <w:t>3800000.00</w:t>
      </w:r>
    </w:p>
    <w:p>
      <w:pPr>
        <w:pStyle w:val="16"/>
        <w:spacing w:before="75" w:beforeAutospacing="0" w:after="75" w:afterAutospacing="0" w:line="360" w:lineRule="auto"/>
        <w:rPr>
          <w:rFonts w:eastAsia="宋体"/>
          <w:lang w:val="en-US" w:eastAsia="zh-CN"/>
        </w:rPr>
      </w:pPr>
      <w:r>
        <w:rPr>
          <w:rFonts w:hint="eastAsia"/>
        </w:rPr>
        <w:t>采购需求：</w:t>
      </w:r>
      <w:r>
        <w:rPr>
          <w:rFonts w:hint="eastAsia"/>
          <w:lang w:val="en-US" w:eastAsia="zh-CN"/>
        </w:rPr>
        <w:t>2套太阳能供电设备，包含太阳能光伏板、储能设备、连接电缆的供应、运输、安装验收及售后服务等。详见招标文件技术参数及说明。</w:t>
      </w:r>
    </w:p>
    <w:p>
      <w:pPr>
        <w:pStyle w:val="16"/>
        <w:spacing w:before="75" w:beforeAutospacing="0" w:after="75" w:afterAutospacing="0" w:line="360" w:lineRule="auto"/>
      </w:pPr>
      <w:r>
        <w:rPr>
          <w:rFonts w:hint="eastAsia"/>
        </w:rPr>
        <w:t>合同履行期限：详见招标文件</w:t>
      </w:r>
    </w:p>
    <w:p>
      <w:pPr>
        <w:pStyle w:val="16"/>
        <w:spacing w:before="75" w:beforeAutospacing="0" w:after="75" w:afterAutospacing="0" w:line="360" w:lineRule="auto"/>
      </w:pPr>
      <w:r>
        <w:rPr>
          <w:rFonts w:hint="eastAsia"/>
        </w:rPr>
        <w:t>本项目（否）接受联合体投标。</w:t>
      </w:r>
    </w:p>
    <w:p>
      <w:pPr>
        <w:pStyle w:val="16"/>
        <w:spacing w:before="255" w:beforeAutospacing="0" w:after="255" w:afterAutospacing="0" w:line="360" w:lineRule="auto"/>
        <w:jc w:val="both"/>
        <w:outlineLvl w:val="0"/>
      </w:pPr>
      <w:bookmarkStart w:id="3" w:name="_Toc15514"/>
      <w:bookmarkStart w:id="4" w:name="_Toc1603"/>
      <w:r>
        <w:rPr>
          <w:rStyle w:val="17"/>
          <w:rFonts w:hint="eastAsia"/>
        </w:rPr>
        <w:t>二、申请人的资格要求：</w:t>
      </w:r>
      <w:bookmarkEnd w:id="3"/>
      <w:bookmarkEnd w:id="4"/>
    </w:p>
    <w:p>
      <w:pPr>
        <w:pStyle w:val="16"/>
        <w:spacing w:before="255" w:after="255"/>
        <w:jc w:val="both"/>
        <w:outlineLvl w:val="0"/>
        <w:rPr>
          <w:rFonts w:hint="eastAsia"/>
          <w:kern w:val="2"/>
        </w:rPr>
      </w:pPr>
      <w:bookmarkStart w:id="5" w:name="_Toc11778"/>
      <w:bookmarkStart w:id="6" w:name="_Toc16470"/>
      <w:r>
        <w:rPr>
          <w:rFonts w:hint="eastAsia"/>
          <w:kern w:val="2"/>
        </w:rPr>
        <w:t xml:space="preserve">1、满足《中华人民共和国政府采购法》第二十二条规定； </w:t>
      </w:r>
    </w:p>
    <w:p>
      <w:pPr>
        <w:pStyle w:val="16"/>
        <w:spacing w:before="255" w:after="255"/>
        <w:jc w:val="both"/>
        <w:outlineLvl w:val="0"/>
        <w:rPr>
          <w:rFonts w:eastAsia="宋体" w:hint="eastAsia"/>
          <w:color w:val="FFFF00"/>
          <w:kern w:val="2"/>
          <w:lang w:eastAsia="zh-CN"/>
        </w:rPr>
      </w:pPr>
      <w:r>
        <w:rPr>
          <w:rFonts w:hint="eastAsia"/>
          <w:kern w:val="2"/>
        </w:rPr>
        <w:t>2、</w:t>
      </w:r>
      <w:r>
        <w:rPr>
          <w:rFonts w:hint="eastAsia"/>
          <w:kern w:val="2"/>
          <w:lang w:eastAsia="zh-CN"/>
        </w:rPr>
        <w:t>落实政府采购政策需满足的资格要求：</w:t>
      </w:r>
      <w:r>
        <w:rPr>
          <w:rFonts w:hint="eastAsia"/>
          <w:color w:val="auto"/>
          <w:kern w:val="2"/>
          <w:lang w:eastAsia="zh-CN"/>
          <w:highlight w:val="auto"/>
        </w:rPr>
        <w:t>本项目专门面向中小企业</w:t>
      </w:r>
    </w:p>
    <w:p>
      <w:pPr>
        <w:pStyle w:val="16"/>
        <w:spacing w:before="255" w:beforeAutospacing="0" w:after="255" w:afterAutospacing="0"/>
        <w:jc w:val="both"/>
        <w:outlineLvl w:val="0"/>
        <w:rPr>
          <w:kern w:val="2"/>
          <w:lang w:val="en-US" w:eastAsia="zh-CN"/>
        </w:rPr>
      </w:pPr>
      <w:r>
        <w:rPr>
          <w:rFonts w:hint="eastAsia"/>
          <w:kern w:val="2"/>
        </w:rPr>
        <w:t>3、本项目的特定资格要求：（1）供应商应具有</w:t>
      </w:r>
      <w:r>
        <w:rPr>
          <w:rFonts w:hint="eastAsia"/>
          <w:kern w:val="2"/>
          <w:lang w:eastAsia="zh-CN"/>
          <w:highlight w:val="auto"/>
        </w:rPr>
        <w:t>《</w:t>
      </w:r>
      <w:r>
        <w:rPr>
          <w:rFonts w:hint="eastAsia"/>
          <w:kern w:val="2"/>
          <w:lang w:val="en-US" w:eastAsia="zh-CN"/>
          <w:highlight w:val="auto"/>
        </w:rPr>
        <w:t>电力工程施工总承包三级</w:t>
      </w:r>
      <w:r>
        <w:rPr>
          <w:rFonts w:hint="eastAsia"/>
          <w:kern w:val="2"/>
          <w:lang w:eastAsia="zh-CN"/>
          <w:highlight w:val="auto"/>
        </w:rPr>
        <w:t>》；</w:t>
      </w:r>
      <w:r>
        <w:rPr>
          <w:rFonts w:hint="eastAsia"/>
          <w:kern w:val="2"/>
          <w:lang w:eastAsia="zh-CN"/>
        </w:rPr>
        <w:t>（</w:t>
      </w:r>
      <w:r>
        <w:rPr>
          <w:rFonts w:hint="eastAsia"/>
          <w:kern w:val="2"/>
          <w:lang w:val="en-US" w:eastAsia="zh-CN"/>
        </w:rPr>
        <w:t>2</w:t>
      </w:r>
      <w:r>
        <w:rPr>
          <w:rFonts w:hint="eastAsia"/>
          <w:kern w:val="2"/>
          <w:lang w:eastAsia="zh-CN"/>
        </w:rPr>
        <w:t>）</w:t>
      </w:r>
      <w:r>
        <w:rPr>
          <w:rFonts w:hint="eastAsia"/>
          <w:kern w:val="2"/>
        </w:rPr>
        <w:t>凡拟参加本次招标项目的</w:t>
      </w:r>
      <w:r>
        <w:rPr>
          <w:rFonts w:hint="eastAsia"/>
          <w:kern w:val="2"/>
          <w:lang w:eastAsia="zh-CN"/>
        </w:rPr>
        <w:t>供应商</w:t>
      </w:r>
      <w:r>
        <w:rPr>
          <w:rFonts w:hint="eastAsia"/>
          <w:kern w:val="2"/>
        </w:rPr>
        <w:t>须具有良好的信誉，未在“信用中国”网站（www.creditchina.gov.cn）被列入失信被执行人、重大税收违法案件当事人名单、政府采购严重违法失信名单的（尚在处罚期内的）、中国政府采购网（www.ccgp.gov.cn）被列入政府采购严重违法失信行为记录名单（尚在处罚期内的）以及未被列入新疆税务局失信惩戒企业名单。近三年政府采购合同履约过程中及其他经营活动履约过程中因围标串标、偷税漏税、制售假冒伪劣商品等行为被有关行政部门处罚（处理）记录的，本项目不认定其具有良好的商业信誉，将拒绝其参本次</w:t>
      </w:r>
      <w:r>
        <w:rPr>
          <w:rFonts w:hint="eastAsia"/>
          <w:kern w:val="2"/>
          <w:lang w:eastAsia="zh-CN"/>
        </w:rPr>
        <w:t>采购活动</w:t>
      </w:r>
      <w:r>
        <w:rPr>
          <w:rFonts w:hint="eastAsia"/>
          <w:kern w:val="2"/>
        </w:rPr>
        <w:t>；（</w:t>
      </w:r>
      <w:r>
        <w:rPr>
          <w:rFonts w:hint="eastAsia"/>
          <w:kern w:val="2"/>
          <w:lang w:val="en-US" w:eastAsia="zh-CN"/>
        </w:rPr>
        <w:t>3</w:t>
      </w:r>
      <w:r>
        <w:rPr>
          <w:rFonts w:hint="eastAsia"/>
          <w:kern w:val="2"/>
        </w:rPr>
        <w:t>）其他说明：（A）与采购人存在利害关系可能影响招标公正性的法人、其他组织或者个人，不得参加投标。（B）单位负责人为同一人或者存在控股、管理关系的不同单位，不得参加同一标段投标或者未划分标段的同一招标项目投标。违反前两款规定的，相关投标均无效；（</w:t>
      </w:r>
      <w:r>
        <w:rPr>
          <w:rFonts w:hint="eastAsia"/>
          <w:kern w:val="2"/>
          <w:lang w:val="en-US" w:eastAsia="zh-CN"/>
        </w:rPr>
        <w:t>4</w:t>
      </w:r>
      <w:r>
        <w:rPr>
          <w:rFonts w:hint="eastAsia"/>
          <w:kern w:val="2"/>
        </w:rPr>
        <w:t>）本项目不接受联合体投标</w:t>
      </w:r>
      <w:r>
        <w:rPr>
          <w:rFonts w:hint="eastAsia"/>
          <w:kern w:val="2"/>
          <w:lang w:eastAsia="zh-CN"/>
        </w:rPr>
        <w:t>；（</w:t>
      </w:r>
      <w:r>
        <w:rPr>
          <w:rFonts w:hint="eastAsia"/>
          <w:kern w:val="2"/>
          <w:lang w:val="en-US" w:eastAsia="zh-CN"/>
        </w:rPr>
        <w:t>5</w:t>
      </w:r>
      <w:r>
        <w:rPr>
          <w:rFonts w:hint="eastAsia"/>
          <w:kern w:val="2"/>
          <w:lang w:eastAsia="zh-CN"/>
        </w:rPr>
        <w:t>）本项目不接受进口产品投标(进口产品是指通过中国海关报关，验放进入中国境内，且产自关境外的产品)；（</w:t>
      </w:r>
      <w:r>
        <w:rPr>
          <w:rFonts w:hint="eastAsia"/>
          <w:kern w:val="2"/>
          <w:lang w:val="en-US" w:eastAsia="zh-CN"/>
        </w:rPr>
        <w:t>6</w:t>
      </w:r>
      <w:r>
        <w:rPr>
          <w:rFonts w:hint="eastAsia"/>
          <w:kern w:val="2"/>
          <w:lang w:eastAsia="zh-CN"/>
        </w:rPr>
        <w:t>）本项目采购活动将严格落实节约能源、保护环境、扶持不发达地区和少数民族地区、促进中小企业发展、平等对待内外资企业等政府采购政策。</w:t>
      </w:r>
    </w:p>
    <w:p>
      <w:pPr>
        <w:pStyle w:val="16"/>
        <w:spacing w:before="255" w:beforeAutospacing="0" w:after="255" w:afterAutospacing="0" w:line="360" w:lineRule="auto"/>
        <w:jc w:val="both"/>
        <w:outlineLvl w:val="0"/>
      </w:pPr>
      <w:r>
        <w:rPr>
          <w:rStyle w:val="17"/>
          <w:rFonts w:hint="eastAsia"/>
        </w:rPr>
        <w:t>三、获取</w:t>
      </w:r>
      <w:bookmarkEnd w:id="5"/>
      <w:bookmarkEnd w:id="6"/>
      <w:r>
        <w:rPr>
          <w:rStyle w:val="17"/>
          <w:rFonts w:hint="eastAsia"/>
        </w:rPr>
        <w:t>招标文件</w:t>
      </w:r>
    </w:p>
    <w:p>
      <w:pPr>
        <w:pStyle w:val="16"/>
        <w:spacing w:before="75" w:beforeAutospacing="0" w:after="75" w:afterAutospacing="0" w:line="360" w:lineRule="auto"/>
      </w:pPr>
      <w:r>
        <w:rPr>
          <w:rFonts w:hint="eastAsia"/>
        </w:rPr>
        <w:t>时间：</w:t>
      </w:r>
      <w:r>
        <w:rPr>
          <w:rFonts w:hint="eastAsia"/>
          <w:u w:val="single"/>
        </w:rPr>
        <w:t>202</w:t>
      </w:r>
      <w:r>
        <w:rPr>
          <w:rFonts w:hint="eastAsia"/>
          <w:u w:val="single"/>
          <w:lang w:val="en-US" w:eastAsia="zh-CN"/>
        </w:rPr>
        <w:t>5</w:t>
      </w:r>
      <w:r>
        <w:rPr>
          <w:rFonts w:hint="eastAsia"/>
          <w:u w:val="single"/>
        </w:rPr>
        <w:t>年</w:t>
      </w:r>
      <w:r>
        <w:rPr>
          <w:rFonts w:hint="eastAsia"/>
          <w:u w:val="single"/>
          <w:lang w:val="en-US" w:eastAsia="zh-CN"/>
        </w:rPr>
        <w:t>9</w:t>
      </w:r>
      <w:r>
        <w:rPr>
          <w:rFonts w:hint="eastAsia"/>
          <w:u w:val="single"/>
        </w:rPr>
        <w:t>月</w:t>
      </w:r>
      <w:r>
        <w:rPr>
          <w:rFonts w:hint="eastAsia"/>
          <w:u w:val="single"/>
          <w:lang w:val="en-US" w:eastAsia="zh-CN"/>
        </w:rPr>
        <w:t>9</w:t>
      </w:r>
      <w:r>
        <w:rPr>
          <w:rFonts w:hint="eastAsia"/>
          <w:u w:val="single"/>
        </w:rPr>
        <w:t>日 </w:t>
      </w:r>
      <w:r>
        <w:rPr>
          <w:rFonts w:hint="eastAsia"/>
        </w:rPr>
        <w:t>至 </w:t>
      </w:r>
      <w:r>
        <w:rPr>
          <w:rFonts w:hint="eastAsia"/>
          <w:u w:val="single"/>
        </w:rPr>
        <w:t> 202</w:t>
      </w:r>
      <w:r>
        <w:rPr>
          <w:rFonts w:hint="eastAsia"/>
          <w:u w:val="single"/>
          <w:lang w:val="en-US" w:eastAsia="zh-CN"/>
        </w:rPr>
        <w:t>5</w:t>
      </w:r>
      <w:r>
        <w:rPr>
          <w:rFonts w:hint="eastAsia"/>
          <w:u w:val="single"/>
        </w:rPr>
        <w:t>年</w:t>
      </w:r>
      <w:r>
        <w:rPr>
          <w:rFonts w:hint="eastAsia"/>
          <w:u w:val="single"/>
          <w:lang w:val="en-US" w:eastAsia="zh-CN"/>
        </w:rPr>
        <w:t>9</w:t>
      </w:r>
      <w:r>
        <w:rPr>
          <w:rFonts w:hint="eastAsia"/>
          <w:u w:val="single"/>
        </w:rPr>
        <w:t>月</w:t>
      </w:r>
      <w:r>
        <w:rPr>
          <w:rFonts w:hint="eastAsia"/>
          <w:u w:val="single"/>
          <w:lang w:val="en-US" w:eastAsia="zh-CN"/>
        </w:rPr>
        <w:t>15</w:t>
      </w:r>
      <w:r>
        <w:rPr>
          <w:rFonts w:hint="eastAsia"/>
          <w:u w:val="single"/>
        </w:rPr>
        <w:t>日 </w:t>
      </w:r>
      <w:r>
        <w:rPr>
          <w:rFonts w:hint="eastAsia"/>
        </w:rPr>
        <w:t>，每天上午</w:t>
      </w:r>
      <w:r>
        <w:rPr>
          <w:rFonts w:hint="eastAsia"/>
          <w:u w:val="single"/>
        </w:rPr>
        <w:t> 10:30至13:30</w:t>
      </w:r>
      <w:r>
        <w:rPr>
          <w:rFonts w:hint="eastAsia"/>
        </w:rPr>
        <w:t> ，下午</w:t>
      </w:r>
      <w:r>
        <w:rPr>
          <w:rFonts w:hint="eastAsia"/>
          <w:u w:val="single"/>
        </w:rPr>
        <w:t> 15:30至1</w:t>
      </w:r>
      <w:r>
        <w:rPr>
          <w:rFonts w:hint="eastAsia"/>
          <w:u w:val="single"/>
          <w:lang w:val="en-US" w:eastAsia="zh-CN"/>
        </w:rPr>
        <w:t>9</w:t>
      </w:r>
      <w:r>
        <w:rPr>
          <w:rFonts w:hint="eastAsia"/>
          <w:u w:val="single"/>
        </w:rPr>
        <w:t>:</w:t>
      </w:r>
      <w:r>
        <w:rPr>
          <w:rFonts w:hint="eastAsia"/>
          <w:u w:val="single"/>
          <w:lang w:val="en-US" w:eastAsia="zh-CN"/>
        </w:rPr>
        <w:t>0</w:t>
      </w:r>
      <w:r>
        <w:rPr>
          <w:rFonts w:hint="eastAsia"/>
          <w:u w:val="single"/>
        </w:rPr>
        <w:t>0 </w:t>
      </w:r>
      <w:r>
        <w:rPr>
          <w:rFonts w:hint="eastAsia"/>
        </w:rPr>
        <w:t>（北京时间；获取文件法定节假日除外）</w:t>
      </w:r>
    </w:p>
    <w:p>
      <w:pPr>
        <w:pStyle w:val="16"/>
        <w:spacing w:before="75" w:after="75" w:line="360" w:lineRule="auto"/>
        <w:rPr>
          <w:lang w:val="en-US"/>
        </w:rPr>
      </w:pPr>
      <w:bookmarkStart w:id="7" w:name="_Toc21979"/>
      <w:bookmarkStart w:id="8" w:name="_Toc30982"/>
      <w:r>
        <w:rPr>
          <w:rFonts w:hint="eastAsia"/>
        </w:rPr>
        <w:t>获取地点：</w:t>
      </w:r>
      <w:r>
        <w:rPr>
          <w:rFonts w:hint="eastAsia"/>
          <w:color w:val="000000"/>
        </w:rPr>
        <w:t>乌鲁木齐市水磨沟区会展大道1119号大成尔雅A座5楼50</w:t>
      </w:r>
      <w:r>
        <w:rPr>
          <w:rFonts w:hint="eastAsia"/>
          <w:color w:val="000000"/>
          <w:lang w:val="en-US" w:eastAsia="zh-CN"/>
        </w:rPr>
        <w:t>5</w:t>
      </w:r>
      <w:r>
        <w:rPr>
          <w:rFonts w:hint="eastAsia"/>
          <w:color w:val="000000"/>
        </w:rPr>
        <w:t>室</w:t>
      </w:r>
    </w:p>
    <w:p>
      <w:pPr>
        <w:pStyle w:val="16"/>
        <w:keepNext w:val="0"/>
        <w:keepLines w:val="0"/>
        <w:pageBreakBefore w:val="0"/>
        <w:widowControl/>
        <w:kinsoku/>
        <w:wordWrap/>
        <w:overflowPunct/>
        <w:topLinePunct w:val="0"/>
        <w:autoSpaceDE/>
        <w:autoSpaceDN/>
        <w:bidi w:val="0"/>
        <w:adjustRightInd/>
        <w:snapToGrid/>
        <w:spacing w:before="75" w:after="75" w:line="360" w:lineRule="auto"/>
        <w:ind w:left="0" w:firstLine="0"/>
        <w:textAlignment w:val="auto"/>
        <w:rPr>
          <w:rFonts w:eastAsia="宋体"/>
          <w:lang w:val="en-US" w:eastAsia="zh-CN"/>
        </w:rPr>
      </w:pPr>
      <w:r>
        <w:rPr>
          <w:rFonts w:hint="eastAsia"/>
        </w:rPr>
        <w:t>获取方式：</w:t>
      </w:r>
      <w:r>
        <w:rPr>
          <w:rFonts w:hint="eastAsia"/>
          <w:color w:val="000000"/>
        </w:rPr>
        <w:t>线下获取</w:t>
      </w:r>
      <w:r>
        <w:rPr>
          <w:rFonts w:hint="eastAsia"/>
          <w:color w:val="000000"/>
          <w:lang w:val="en-US" w:eastAsia="zh-CN"/>
        </w:rPr>
        <w:t>招标文件，获取招标文件须携带以下资料：法人身份证明书或授权委托书、营业执照复印件、</w:t>
      </w:r>
      <w:r>
        <w:rPr>
          <w:rFonts w:hint="eastAsia"/>
          <w:kern w:val="2"/>
          <w:lang w:eastAsia="zh-CN"/>
          <w:highlight w:val="auto"/>
        </w:rPr>
        <w:t>《</w:t>
      </w:r>
      <w:r>
        <w:rPr>
          <w:rFonts w:hint="eastAsia"/>
          <w:kern w:val="2"/>
          <w:lang w:val="en-US" w:eastAsia="zh-CN"/>
          <w:highlight w:val="auto"/>
        </w:rPr>
        <w:t>电力工程施工总承包三级</w:t>
      </w:r>
      <w:r>
        <w:rPr>
          <w:rFonts w:hint="eastAsia"/>
          <w:kern w:val="2"/>
          <w:lang w:eastAsia="zh-CN"/>
          <w:highlight w:val="auto"/>
        </w:rPr>
        <w:t>》</w:t>
      </w:r>
      <w:r>
        <w:rPr>
          <w:rFonts w:hint="eastAsia"/>
          <w:kern w:val="2"/>
          <w:lang w:val="en-US" w:eastAsia="zh-CN"/>
          <w:highlight w:val="auto"/>
        </w:rPr>
        <w:t>资质证明材料加盖公章。</w:t>
      </w:r>
    </w:p>
    <w:p>
      <w:pPr>
        <w:pStyle w:val="16"/>
        <w:spacing w:before="75" w:after="75" w:line="360" w:lineRule="auto"/>
        <w:rPr>
          <w:rFonts w:eastAsia="宋体"/>
          <w:lang w:val="en-US" w:eastAsia="zh-CN"/>
        </w:rPr>
      </w:pPr>
      <w:r>
        <w:rPr>
          <w:rFonts w:hint="eastAsia"/>
        </w:rPr>
        <w:t>售价（元）：</w:t>
      </w:r>
      <w:r>
        <w:rPr>
          <w:rFonts w:hint="eastAsia"/>
          <w:lang w:val="en-US" w:eastAsia="zh-CN"/>
        </w:rPr>
        <w:t>200</w:t>
      </w:r>
      <w:r>
        <w:rPr>
          <w:rFonts w:hint="eastAsia"/>
        </w:rPr>
        <w:t>元</w:t>
      </w:r>
      <w:r>
        <w:rPr>
          <w:rFonts w:hint="eastAsia"/>
          <w:lang w:val="en-US" w:eastAsia="zh-CN"/>
        </w:rPr>
        <w:t>/份</w:t>
      </w:r>
    </w:p>
    <w:p>
      <w:pPr>
        <w:pStyle w:val="16"/>
        <w:spacing w:before="255" w:beforeAutospacing="0" w:after="255" w:afterAutospacing="0" w:line="360" w:lineRule="auto"/>
        <w:jc w:val="both"/>
        <w:outlineLvl w:val="0"/>
      </w:pPr>
      <w:r>
        <w:rPr>
          <w:rStyle w:val="17"/>
          <w:rFonts w:hint="eastAsia"/>
        </w:rPr>
        <w:t>四、提交响应文件截止时间、开标时间和地点</w:t>
      </w:r>
      <w:bookmarkEnd w:id="7"/>
      <w:bookmarkEnd w:id="8"/>
    </w:p>
    <w:p>
      <w:pPr>
        <w:pStyle w:val="16"/>
        <w:spacing w:before="75" w:beforeAutospacing="0" w:after="75" w:afterAutospacing="0" w:line="360" w:lineRule="auto"/>
      </w:pPr>
      <w:r>
        <w:rPr>
          <w:rFonts w:hint="eastAsia"/>
        </w:rPr>
        <w:t>提交响应文件截止时间：</w:t>
      </w:r>
      <w:r>
        <w:rPr>
          <w:rFonts w:hint="eastAsia"/>
          <w:color w:val="000000"/>
          <w:u w:val="single"/>
        </w:rPr>
        <w:t>202</w:t>
      </w:r>
      <w:r>
        <w:rPr>
          <w:rFonts w:hint="eastAsia"/>
          <w:color w:val="000000"/>
          <w:u w:val="single"/>
          <w:lang w:val="en-US" w:eastAsia="zh-CN"/>
        </w:rPr>
        <w:t>5</w:t>
      </w:r>
      <w:r>
        <w:rPr>
          <w:rFonts w:hint="eastAsia"/>
          <w:color w:val="000000"/>
          <w:u w:val="single"/>
        </w:rPr>
        <w:t>年</w:t>
      </w:r>
      <w:r>
        <w:rPr>
          <w:rFonts w:hint="eastAsia"/>
          <w:color w:val="000000"/>
          <w:u w:val="single"/>
          <w:lang w:val="en-US" w:eastAsia="zh-CN"/>
        </w:rPr>
        <w:t>9</w:t>
      </w:r>
      <w:r>
        <w:rPr>
          <w:rFonts w:hint="eastAsia"/>
          <w:color w:val="000000"/>
          <w:u w:val="single"/>
        </w:rPr>
        <w:t>月</w:t>
      </w:r>
      <w:r>
        <w:rPr>
          <w:rFonts w:hint="eastAsia"/>
          <w:color w:val="000000"/>
          <w:u w:val="single"/>
          <w:lang w:val="en-US" w:eastAsia="zh-CN"/>
        </w:rPr>
        <w:t>29</w:t>
      </w:r>
      <w:r>
        <w:rPr>
          <w:rFonts w:hint="eastAsia"/>
          <w:color w:val="000000"/>
          <w:u w:val="single"/>
        </w:rPr>
        <w:t>日</w:t>
      </w:r>
      <w:r>
        <w:rPr>
          <w:rFonts w:hint="eastAsia"/>
          <w:color w:val="000000"/>
          <w:u w:val="single"/>
          <w:lang w:val="en-US" w:eastAsia="zh-CN"/>
        </w:rPr>
        <w:t>11</w:t>
      </w:r>
      <w:r>
        <w:rPr>
          <w:rFonts w:hint="eastAsia"/>
          <w:color w:val="000000"/>
          <w:u w:val="single"/>
        </w:rPr>
        <w:t>点00分</w:t>
      </w:r>
      <w:r>
        <w:rPr>
          <w:rFonts w:hint="eastAsia"/>
        </w:rPr>
        <w:t>（北京时间）</w:t>
      </w:r>
    </w:p>
    <w:p>
      <w:pPr>
        <w:pStyle w:val="16"/>
        <w:spacing w:before="75" w:beforeAutospacing="0" w:after="75" w:afterAutospacing="0" w:line="360" w:lineRule="auto"/>
      </w:pPr>
      <w:r>
        <w:rPr>
          <w:rFonts w:hint="eastAsia"/>
        </w:rPr>
        <w:t>投标地点：</w:t>
      </w:r>
      <w:bookmarkStart w:id="9" w:name="_Hlk114600753"/>
      <w:r>
        <w:rPr>
          <w:rFonts w:hint="eastAsia"/>
          <w:u w:val="single"/>
        </w:rPr>
        <w:t> </w:t>
      </w:r>
      <w:bookmarkStart w:id="10" w:name="_Hlk114602211"/>
      <w:bookmarkEnd w:id="9"/>
      <w:r>
        <w:rPr>
          <w:rFonts w:hint="eastAsia"/>
          <w:u w:val="single"/>
        </w:rPr>
        <w:t>乌鲁木齐市水磨沟区会展大道1119号大成尔雅A座</w:t>
      </w:r>
      <w:r>
        <w:rPr>
          <w:rFonts w:hint="eastAsia"/>
          <w:u w:val="single"/>
          <w:lang w:val="en-US" w:eastAsia="zh-CN"/>
        </w:rPr>
        <w:t>5</w:t>
      </w:r>
      <w:r>
        <w:rPr>
          <w:rFonts w:hint="eastAsia"/>
          <w:u w:val="single"/>
        </w:rPr>
        <w:t>楼</w:t>
      </w:r>
      <w:r>
        <w:rPr>
          <w:rFonts w:hint="eastAsia"/>
          <w:u w:val="single"/>
          <w:lang w:val="en-US" w:eastAsia="zh-CN"/>
        </w:rPr>
        <w:t>506</w:t>
      </w:r>
      <w:r>
        <w:rPr>
          <w:rFonts w:hint="eastAsia"/>
          <w:u w:val="single"/>
        </w:rPr>
        <w:t> </w:t>
      </w:r>
      <w:bookmarkEnd w:id="10"/>
    </w:p>
    <w:p>
      <w:pPr>
        <w:pStyle w:val="16"/>
        <w:spacing w:before="75" w:beforeAutospacing="0" w:after="75" w:afterAutospacing="0" w:line="360" w:lineRule="auto"/>
      </w:pPr>
      <w:r>
        <w:rPr>
          <w:rFonts w:hint="eastAsia"/>
        </w:rPr>
        <w:t>开标时间：</w:t>
      </w:r>
      <w:r>
        <w:rPr>
          <w:rFonts w:hint="eastAsia"/>
          <w:color w:val="000000"/>
          <w:u w:val="single"/>
        </w:rPr>
        <w:t>202</w:t>
      </w:r>
      <w:r>
        <w:rPr>
          <w:rFonts w:hint="eastAsia"/>
          <w:color w:val="000000"/>
          <w:u w:val="single"/>
          <w:lang w:val="en-US" w:eastAsia="zh-CN"/>
        </w:rPr>
        <w:t>5</w:t>
      </w:r>
      <w:r>
        <w:rPr>
          <w:rFonts w:hint="eastAsia"/>
          <w:color w:val="000000"/>
          <w:u w:val="single"/>
        </w:rPr>
        <w:t>年</w:t>
      </w:r>
      <w:r>
        <w:rPr>
          <w:rFonts w:hint="eastAsia"/>
          <w:color w:val="000000"/>
          <w:u w:val="single"/>
          <w:lang w:val="en-US" w:eastAsia="zh-CN"/>
        </w:rPr>
        <w:t>9</w:t>
      </w:r>
      <w:r>
        <w:rPr>
          <w:rFonts w:hint="eastAsia"/>
          <w:color w:val="000000"/>
          <w:u w:val="single"/>
        </w:rPr>
        <w:t>月</w:t>
      </w:r>
      <w:r>
        <w:rPr>
          <w:rFonts w:hint="eastAsia"/>
          <w:color w:val="000000"/>
          <w:u w:val="single"/>
          <w:lang w:val="en-US" w:eastAsia="zh-CN"/>
        </w:rPr>
        <w:t>29</w:t>
      </w:r>
      <w:r>
        <w:rPr>
          <w:rFonts w:hint="eastAsia"/>
          <w:color w:val="000000"/>
          <w:u w:val="single"/>
        </w:rPr>
        <w:t>日</w:t>
      </w:r>
      <w:r>
        <w:rPr>
          <w:rFonts w:hint="eastAsia"/>
          <w:color w:val="000000"/>
          <w:u w:val="single"/>
          <w:lang w:val="en-US" w:eastAsia="zh-CN"/>
        </w:rPr>
        <w:t>11</w:t>
      </w:r>
      <w:r>
        <w:rPr>
          <w:rFonts w:hint="eastAsia"/>
          <w:color w:val="000000"/>
          <w:u w:val="single"/>
        </w:rPr>
        <w:t>点00分</w:t>
      </w:r>
      <w:r>
        <w:rPr>
          <w:rFonts w:hint="eastAsia"/>
        </w:rPr>
        <w:t>（北京时间）</w:t>
      </w:r>
    </w:p>
    <w:p>
      <w:pPr>
        <w:pStyle w:val="16"/>
        <w:spacing w:before="75" w:beforeAutospacing="0" w:after="75" w:afterAutospacing="0" w:line="360" w:lineRule="auto"/>
      </w:pPr>
      <w:r>
        <w:rPr>
          <w:rFonts w:hint="eastAsia"/>
        </w:rPr>
        <w:t>开标地点：</w:t>
      </w:r>
      <w:r>
        <w:rPr>
          <w:rFonts w:hint="eastAsia"/>
          <w:u w:val="single"/>
        </w:rPr>
        <w:t> 乌鲁木齐市水磨沟区会展大道1119号大成尔雅A座</w:t>
      </w:r>
      <w:r>
        <w:rPr>
          <w:rFonts w:hint="eastAsia"/>
          <w:u w:val="single"/>
          <w:lang w:val="en-US" w:eastAsia="zh-CN"/>
        </w:rPr>
        <w:t>5</w:t>
      </w:r>
      <w:r>
        <w:rPr>
          <w:rFonts w:hint="eastAsia"/>
          <w:u w:val="single"/>
        </w:rPr>
        <w:t>楼</w:t>
      </w:r>
      <w:r>
        <w:rPr>
          <w:rFonts w:hint="eastAsia"/>
          <w:u w:val="single"/>
          <w:lang w:val="en-US" w:eastAsia="zh-CN"/>
        </w:rPr>
        <w:t>506</w:t>
      </w:r>
      <w:r>
        <w:rPr>
          <w:rFonts w:hint="eastAsia"/>
          <w:u w:val="single"/>
        </w:rPr>
        <w:t> </w:t>
      </w:r>
    </w:p>
    <w:p>
      <w:pPr>
        <w:pStyle w:val="16"/>
        <w:spacing w:before="255" w:beforeAutospacing="0" w:after="255" w:afterAutospacing="0" w:line="360" w:lineRule="auto"/>
        <w:jc w:val="both"/>
        <w:outlineLvl w:val="0"/>
      </w:pPr>
      <w:bookmarkStart w:id="11" w:name="_Toc24127"/>
      <w:bookmarkStart w:id="12" w:name="_Toc14271"/>
      <w:r>
        <w:rPr>
          <w:rStyle w:val="17"/>
          <w:rFonts w:hint="eastAsia"/>
        </w:rPr>
        <w:t>五、公告期限</w:t>
      </w:r>
      <w:bookmarkEnd w:id="11"/>
      <w:bookmarkEnd w:id="12"/>
    </w:p>
    <w:p>
      <w:pPr>
        <w:pStyle w:val="16"/>
        <w:spacing w:before="75" w:beforeAutospacing="0" w:after="75" w:afterAutospacing="0" w:line="360" w:lineRule="auto"/>
      </w:pPr>
      <w:r>
        <w:rPr>
          <w:rFonts w:hint="eastAsia"/>
        </w:rPr>
        <w:t>自本公告发布之日起5个工作日。　　　　　　　　　　</w:t>
      </w:r>
    </w:p>
    <w:p>
      <w:pPr>
        <w:pStyle w:val="16"/>
        <w:spacing w:before="255" w:beforeAutospacing="0" w:after="255" w:afterAutospacing="0" w:line="360" w:lineRule="auto"/>
        <w:jc w:val="both"/>
        <w:outlineLvl w:val="0"/>
      </w:pPr>
      <w:bookmarkStart w:id="13" w:name="_Toc25577"/>
      <w:bookmarkStart w:id="14" w:name="_Toc28085"/>
      <w:r>
        <w:rPr>
          <w:rStyle w:val="17"/>
          <w:rFonts w:hint="eastAsia"/>
          <w:lang w:val="en-US" w:eastAsia="zh-CN"/>
        </w:rPr>
        <w:t>六</w:t>
      </w:r>
      <w:r>
        <w:rPr>
          <w:rStyle w:val="17"/>
          <w:rFonts w:hint="eastAsia"/>
        </w:rPr>
        <w:t>、对本次招标提出询问，请按以下方式联系。</w:t>
      </w:r>
      <w:bookmarkEnd w:id="13"/>
      <w:bookmarkEnd w:id="14"/>
      <w:r>
        <w:rPr>
          <w:rFonts w:hint="eastAsia"/>
        </w:rPr>
        <w:t>　　　　　　　　　　　　</w:t>
      </w:r>
    </w:p>
    <w:p>
      <w:pPr>
        <w:pStyle w:val="16"/>
        <w:spacing w:before="75" w:beforeAutospacing="0" w:after="75" w:afterAutospacing="0" w:line="360" w:lineRule="auto"/>
      </w:pPr>
      <w:r>
        <w:rPr>
          <w:rFonts w:hint="eastAsia"/>
        </w:rPr>
        <w:t>1.采购人信息</w:t>
      </w:r>
    </w:p>
    <w:p>
      <w:pPr>
        <w:pStyle w:val="16"/>
        <w:spacing w:before="75" w:beforeAutospacing="0" w:after="75" w:afterAutospacing="0" w:line="360" w:lineRule="auto"/>
      </w:pPr>
      <w:r>
        <w:rPr>
          <w:rFonts w:hint="eastAsia"/>
        </w:rPr>
        <w:t>名</w:t>
      </w:r>
      <w:r>
        <w:rPr>
          <w:rFonts w:hint="eastAsia"/>
          <w:lang w:val="en-US" w:eastAsia="zh-CN"/>
        </w:rPr>
        <w:t xml:space="preserve">  </w:t>
      </w:r>
      <w:r>
        <w:rPr>
          <w:rFonts w:hint="eastAsia"/>
        </w:rPr>
        <w:t>称：</w:t>
      </w:r>
      <w:r>
        <w:rPr>
          <w:rFonts w:hint="eastAsia"/>
          <w:u w:val="single"/>
        </w:rPr>
        <w:t>乌鲁木齐海关</w:t>
      </w:r>
      <w:r>
        <w:rPr>
          <w:rFonts w:hint="eastAsia"/>
          <w:u w:val="single"/>
          <w:lang w:eastAsia="zh-CN"/>
        </w:rPr>
        <w:t>后勤管理中心</w:t>
      </w:r>
      <w:r>
        <w:rPr>
          <w:rFonts w:hint="eastAsia"/>
        </w:rPr>
        <w:t>　　　　　　　　</w:t>
      </w:r>
    </w:p>
    <w:p>
      <w:pPr>
        <w:spacing w:line="360" w:lineRule="auto"/>
        <w:contextualSpacing/>
      </w:pPr>
      <w:r>
        <w:rPr>
          <w:rFonts w:ascii="宋体" w:hint="eastAsia"/>
          <w:sz w:val="24"/>
          <w:szCs w:val="24"/>
        </w:rPr>
        <w:t>地  址：</w:t>
      </w:r>
      <w:r>
        <w:rPr>
          <w:rFonts w:ascii="宋体" w:hint="eastAsia"/>
          <w:sz w:val="24"/>
          <w:szCs w:val="24"/>
          <w:u w:val="single"/>
        </w:rPr>
        <w:t>新疆乌鲁木齐市北京南路241号</w:t>
      </w:r>
      <w:r>
        <w:rPr>
          <w:rFonts w:hint="eastAsia"/>
          <w:u w:val="single"/>
        </w:rPr>
        <w:t>　</w:t>
      </w:r>
      <w:r>
        <w:rPr>
          <w:rFonts w:hint="eastAsia"/>
        </w:rPr>
        <w:t>　　</w:t>
      </w:r>
    </w:p>
    <w:p>
      <w:pPr>
        <w:pStyle w:val="16"/>
        <w:spacing w:before="75" w:beforeAutospacing="0" w:after="75" w:afterAutospacing="0" w:line="360" w:lineRule="auto"/>
        <w:rPr>
          <w:u w:val="single"/>
          <w:lang w:val="en-US" w:eastAsia="zh-CN"/>
          <w:highlight w:val="auto"/>
        </w:rPr>
      </w:pPr>
      <w:r>
        <w:rPr>
          <w:rFonts w:hint="eastAsia"/>
          <w:u w:val="none"/>
          <w:highlight w:val="auto"/>
        </w:rPr>
        <w:t>项目联系方式：</w:t>
      </w:r>
      <w:r>
        <w:rPr>
          <w:rFonts w:hint="eastAsia"/>
          <w:u w:val="single"/>
          <w:lang w:val="en-US" w:eastAsia="zh-CN"/>
          <w:highlight w:val="auto"/>
        </w:rPr>
        <w:t>0991- 3627247</w:t>
      </w:r>
    </w:p>
    <w:p>
      <w:pPr>
        <w:pStyle w:val="16"/>
        <w:spacing w:before="75" w:beforeAutospacing="0" w:after="75" w:afterAutospacing="0" w:line="360" w:lineRule="auto"/>
      </w:pPr>
      <w:r>
        <w:rPr>
          <w:rFonts w:hint="eastAsia"/>
        </w:rPr>
        <w:t>2.采购代理机构信息</w:t>
      </w:r>
    </w:p>
    <w:p>
      <w:pPr>
        <w:pStyle w:val="16"/>
        <w:spacing w:before="75" w:beforeAutospacing="0" w:after="75" w:afterAutospacing="0" w:line="360" w:lineRule="auto"/>
      </w:pPr>
      <w:r>
        <w:rPr>
          <w:rFonts w:hint="eastAsia"/>
        </w:rPr>
        <w:t>名</w:t>
      </w:r>
      <w:r>
        <w:rPr>
          <w:rFonts w:hint="eastAsia"/>
          <w:lang w:val="en-US" w:eastAsia="zh-CN"/>
        </w:rPr>
        <w:t xml:space="preserve">  </w:t>
      </w:r>
      <w:r>
        <w:rPr>
          <w:rFonts w:hint="eastAsia"/>
        </w:rPr>
        <w:t>称：</w:t>
      </w:r>
      <w:r>
        <w:rPr>
          <w:rFonts w:hint="eastAsia"/>
          <w:u w:val="single"/>
        </w:rPr>
        <w:t>新疆中咨建设项目管理有限公司</w:t>
      </w:r>
      <w:r>
        <w:rPr>
          <w:rFonts w:hint="eastAsia"/>
        </w:rPr>
        <w:t>　　　　　　　　　　　</w:t>
      </w:r>
    </w:p>
    <w:p>
      <w:pPr>
        <w:pStyle w:val="16"/>
        <w:spacing w:before="75" w:beforeAutospacing="0" w:after="75" w:afterAutospacing="0" w:line="360" w:lineRule="auto"/>
        <w:rPr>
          <w:rFonts w:eastAsia="宋体" w:hint="eastAsia"/>
          <w:lang w:val="en-US" w:eastAsia="zh-CN"/>
        </w:rPr>
      </w:pPr>
      <w:r>
        <w:rPr>
          <w:rFonts w:hint="eastAsia"/>
          <w:lang w:val="en-US" w:eastAsia="zh-CN"/>
        </w:rPr>
        <w:t>地  址：</w:t>
      </w:r>
      <w:r>
        <w:rPr>
          <w:rFonts w:hint="eastAsia"/>
          <w:u w:val="single"/>
          <w:lang w:val="en-US" w:eastAsia="zh-CN"/>
        </w:rPr>
        <w:t>乌鲁木齐市水磨沟区会展大道1119号大成尔雅A座5楼</w:t>
      </w:r>
    </w:p>
    <w:p>
      <w:pPr>
        <w:pStyle w:val="16"/>
        <w:spacing w:before="75" w:beforeAutospacing="0" w:after="75" w:afterAutospacing="0" w:line="360" w:lineRule="auto"/>
      </w:pPr>
      <w:r>
        <w:rPr>
          <w:rFonts w:hint="eastAsia"/>
        </w:rPr>
        <w:t>项目联系人：</w:t>
      </w:r>
      <w:r>
        <w:rPr>
          <w:rFonts w:hint="eastAsia"/>
          <w:u w:val="single"/>
        </w:rPr>
        <w:t>梅坤伟、</w:t>
      </w:r>
      <w:r>
        <w:rPr>
          <w:rFonts w:hint="eastAsia"/>
          <w:u w:val="single"/>
          <w:lang w:val="en-US" w:eastAsia="zh-CN"/>
        </w:rPr>
        <w:t>乔浩峰</w:t>
      </w:r>
      <w:r>
        <w:rPr>
          <w:rFonts w:hint="eastAsia"/>
        </w:rPr>
        <w:t>　　　　　　　　　　　</w:t>
      </w:r>
    </w:p>
    <w:p>
      <w:pPr>
        <w:spacing w:line="360" w:lineRule="auto"/>
        <w:rPr>
          <w:rFonts w:ascii="宋体" w:eastAsia="宋体" w:cs="宋体"/>
          <w:lang w:val="en-US" w:eastAsia="zh-CN"/>
        </w:rPr>
      </w:pPr>
      <w:r>
        <w:rPr>
          <w:rFonts w:ascii="宋体" w:cs="宋体" w:hint="eastAsia"/>
          <w:sz w:val="24"/>
        </w:rPr>
        <w:t>项目联系方式：</w:t>
      </w:r>
      <w:r>
        <w:rPr>
          <w:rFonts w:ascii="宋体" w:cs="宋体" w:hint="eastAsia"/>
          <w:sz w:val="24"/>
          <w:u w:val="single"/>
        </w:rPr>
        <w:t>0991-4603819/</w:t>
      </w:r>
      <w:r>
        <w:rPr>
          <w:rFonts w:ascii="宋体" w:cs="宋体" w:hint="eastAsia"/>
          <w:sz w:val="24"/>
          <w:u w:val="single"/>
          <w:lang w:val="en-US" w:eastAsia="zh-CN"/>
        </w:rPr>
        <w:t>19828655849</w:t>
      </w:r>
    </w:p>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02"/>
    <w:family w:val="roman"/>
    <w:pitch w:val="variable"/>
    <w:sig w:usb0="00000203" w:usb1="288F0000" w:usb2="00000006" w:usb3="00000000" w:csb0="00040001" w:csb1="00000000"/>
  </w:font>
  <w:font w:name="Times New Roman">
    <w:panose1 w:val="02020603050405020304"/>
    <w:charset w:val="80"/>
    <w:family w:val="auto"/>
    <w:pitch w:val="variable"/>
    <w:sig w:usb0="E0002EFF" w:usb1="C000785B" w:usb2="00000009"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bordersDoNotSurroundHeader w:val="0"/>
  <w:bordersDoNotSurroundFooter w:val="0"/>
  <w:trackRevisions/>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rPr>
      <w:rFonts w:ascii="Times New Roman" w:eastAsia="宋体" w:cs="Times New Roman" w:hAnsi="Times New Roman"/>
      <w:kern w:val="2"/>
      <w:sz w:val="21"/>
      <w:szCs w:val="24"/>
      <w:lang w:val="en-US" w:eastAsia="zh-CN" w:bidi="ar-SA"/>
    </w:rPr>
  </w:style>
  <w:style w:type="character" w:default="1" w:styleId="10">
    <w:name w:val="Default Paragraph Font"/>
  </w:style>
  <w:style w:type="paragraph" w:styleId="15">
    <w:name w:val="annotation text"/>
    <w:basedOn w:val="0"/>
    <w:pPr>
      <w:jc w:val="left"/>
    </w:pPr>
  </w:style>
  <w:style w:type="paragraph" w:styleId="16">
    <w:name w:val="Normal (Web)"/>
    <w:basedOn w:val="0"/>
    <w:pPr>
      <w:widowControl/>
      <w:spacing w:before="100" w:beforeAutospacing="1" w:after="100" w:afterAutospacing="1"/>
      <w:jc w:val="left"/>
    </w:pPr>
    <w:rPr>
      <w:rFonts w:ascii="宋体" w:cs="宋体"/>
      <w:kern w:val="0"/>
      <w:sz w:val="24"/>
    </w:rPr>
  </w:style>
  <w:style w:type="character" w:styleId="17">
    <w:name w:val="Strong"/>
    <w:rPr>
      <w:b/>
      <w:bCs/>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8</TotalTime>
  <Application>Yozo_Office</Application>
  <Pages>3</Pages>
  <Words>1236</Words>
  <Characters>1390</Characters>
  <Lines>55</Lines>
  <Paragraphs>36</Paragraphs>
  <CharactersWithSpaces>1467</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WPS_1529831119</dc:creator>
  <cp:lastModifiedBy>张雅娟</cp:lastModifiedBy>
  <cp:revision>1</cp:revision>
  <dcterms:created xsi:type="dcterms:W3CDTF">2025-09-08T07:53:00Z</dcterms:created>
  <dcterms:modified xsi:type="dcterms:W3CDTF">2025-09-08T10:49:43Z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ICV">
    <vt:lpwstr>5A0AD2CCFD0246BB84CE9935FC937292_11</vt:lpwstr>
  </property>
  <property fmtid="{D5CDD505-2E9C-101B-9397-08002B2CF9AE}" pid="4" name="KSOTemplateDocerSaveRecord">
    <vt:lpwstr>eyJoZGlkIjoiYjZhM2MwYzE5NWI1NjUyZDljYmJmMjg5YmZmNTk4MmUiLCJ1c2VySWQiOiIzODA3NTY3NTUifQ==</vt:lpwstr>
  </property>
</Properties>
</file>