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76"/>
        <w:ind w:left="0"/>
        <w:jc w:val="center"/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</w:pPr>
      <w:bookmarkStart w:id="0" w:name="_Hlk25540369"/>
      <w:r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  <w:t>额布都格海关202</w:t>
      </w:r>
      <w:r>
        <w:rPr>
          <w:rFonts w:ascii="方正小标宋_GBK" w:eastAsia="方正小标宋_GBK" w:cs="方正小标宋_GBK"/>
          <w:color w:val="auto"/>
          <w:sz w:val="44"/>
          <w:szCs w:val="44"/>
          <w:lang w:bidi="ar-SA"/>
        </w:rPr>
        <w:t>5</w:t>
      </w:r>
      <w:r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  <w:t>年政府信息公开</w:t>
      </w:r>
    </w:p>
    <w:p>
      <w:pPr>
        <w:pStyle w:val="76"/>
        <w:ind w:left="0"/>
        <w:jc w:val="center"/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</w:pPr>
      <w:r>
        <w:rPr>
          <w:rFonts w:ascii="方正小标宋_GBK" w:eastAsia="方正小标宋_GBK" w:cs="方正小标宋_GBK" w:hint="eastAsia"/>
          <w:color w:val="auto"/>
          <w:sz w:val="44"/>
          <w:szCs w:val="44"/>
          <w:lang w:bidi="ar-SA"/>
        </w:rPr>
        <w:t>工作年度报告</w:t>
      </w:r>
      <w:bookmarkEnd w:id="0"/>
    </w:p>
    <w:p>
      <w:pPr>
        <w:spacing w:line="560" w:lineRule="exact"/>
        <w:ind w:left="0"/>
        <w:jc w:val="both"/>
        <w:rPr>
          <w:rFonts w:ascii="方正黑体_GBK" w:eastAsia="方正黑体_GBK"/>
          <w:sz w:val="32"/>
          <w:szCs w:val="32"/>
        </w:rPr>
      </w:pPr>
    </w:p>
    <w:p>
      <w:pPr>
        <w:spacing w:line="560" w:lineRule="exact"/>
        <w:ind w:firstLineChars="200" w:firstLine="640"/>
        <w:jc w:val="both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一、总体情况</w:t>
      </w:r>
    </w:p>
    <w:p>
      <w:pPr>
        <w:pStyle w:val="243"/>
        <w:spacing w:line="560" w:lineRule="exact"/>
        <w:ind w:firstLineChars="200" w:firstLine="640"/>
        <w:jc w:val="both"/>
        <w:rPr>
          <w:rFonts w:ascii="方正仿宋_GBK" w:eastAsia="方正仿宋_GBK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2025</w:t>
      </w:r>
      <w:r>
        <w:rPr>
          <w:rFonts w:ascii="方正仿宋_GBK" w:eastAsia="方正仿宋_GBK" w:hint="eastAsia"/>
          <w:sz w:val="32"/>
          <w:szCs w:val="32"/>
        </w:rPr>
        <w:t>年，</w:t>
      </w:r>
      <w:r>
        <w:rPr>
          <w:rFonts w:ascii="方正仿宋_GBK" w:eastAsia="方正仿宋_GBK"/>
          <w:sz w:val="32"/>
          <w:szCs w:val="32"/>
        </w:rPr>
        <w:t>额布都格</w:t>
      </w:r>
      <w:r>
        <w:rPr>
          <w:rFonts w:ascii="方正仿宋_GBK" w:eastAsia="方正仿宋_GBK" w:hint="eastAsia"/>
          <w:sz w:val="32"/>
          <w:szCs w:val="32"/>
        </w:rPr>
        <w:t>海关坚持以习近平新时代中国特色社会主义思想为指导，</w:t>
      </w:r>
      <w:r>
        <w:rPr>
          <w:rFonts w:ascii="方正仿宋_GBK" w:eastAsia="方正仿宋_GBK"/>
          <w:sz w:val="32"/>
          <w:szCs w:val="32"/>
        </w:rPr>
        <w:t>深入学习贯彻党的二十大及二十届历次全会精神，</w:t>
      </w:r>
      <w:r>
        <w:rPr>
          <w:rFonts w:ascii="Times New Roman" w:eastAsia="方正仿宋_GBK" w:hAnsi="Times New Roman"/>
          <w:sz w:val="32"/>
          <w:szCs w:val="32"/>
          <w:lang w:bidi="ar-SA"/>
        </w:rPr>
        <w:t>严格落实《中华人民共和国政府信息公开条例》等相关要求，认真贯彻落实上级关于政府信息公开的安排部署，有序推进</w:t>
      </w:r>
      <w:r>
        <w:rPr>
          <w:rFonts w:ascii="方正仿宋_GBK" w:eastAsia="方正仿宋_GBK"/>
          <w:sz w:val="32"/>
          <w:szCs w:val="32"/>
        </w:rPr>
        <w:t>政府信息公开工作标准化、规范化</w:t>
      </w:r>
      <w:r>
        <w:rPr>
          <w:rFonts w:ascii="方正仿宋_GBK" w:eastAsia="方正仿宋_GBK" w:hint="eastAsia"/>
          <w:sz w:val="32"/>
          <w:szCs w:val="32"/>
        </w:rPr>
        <w:t>，</w:t>
      </w:r>
      <w:r>
        <w:rPr>
          <w:rFonts w:ascii="方正仿宋_GBK" w:eastAsia="方正仿宋_GBK"/>
          <w:sz w:val="32"/>
          <w:szCs w:val="32"/>
        </w:rPr>
        <w:t>持续打造</w:t>
      </w:r>
      <w:r>
        <w:rPr>
          <w:rFonts w:ascii="方正仿宋_GBK" w:eastAsia="方正仿宋_GBK" w:hint="eastAsia"/>
          <w:sz w:val="32"/>
          <w:szCs w:val="32"/>
        </w:rPr>
        <w:t>高效便捷的</w:t>
      </w:r>
      <w:r>
        <w:rPr>
          <w:rFonts w:ascii="方正仿宋_GBK" w:eastAsia="方正仿宋_GBK"/>
          <w:sz w:val="32"/>
          <w:szCs w:val="32"/>
        </w:rPr>
        <w:t>口岸营商</w:t>
      </w:r>
      <w:r>
        <w:rPr>
          <w:rFonts w:ascii="方正仿宋_GBK" w:eastAsia="方正仿宋_GBK" w:hint="eastAsia"/>
          <w:sz w:val="32"/>
          <w:szCs w:val="32"/>
        </w:rPr>
        <w:t>环境</w:t>
      </w:r>
      <w:r>
        <w:rPr>
          <w:rFonts w:ascii="方正仿宋_GBK" w:eastAsia="方正仿宋_GBK"/>
          <w:sz w:val="32"/>
          <w:szCs w:val="32"/>
        </w:rPr>
        <w:t>，</w:t>
      </w:r>
      <w:r>
        <w:rPr>
          <w:rFonts w:ascii="方正仿宋_GBK" w:eastAsia="方正仿宋_GBK" w:hint="eastAsia"/>
          <w:sz w:val="32"/>
          <w:szCs w:val="32"/>
        </w:rPr>
        <w:t>提</w:t>
      </w:r>
      <w:r>
        <w:rPr>
          <w:rFonts w:ascii="方正仿宋_GBK" w:eastAsia="方正仿宋_GBK"/>
          <w:sz w:val="32"/>
          <w:szCs w:val="32"/>
        </w:rPr>
        <w:t>升政府信息</w:t>
      </w:r>
      <w:r>
        <w:rPr>
          <w:rFonts w:ascii="方正仿宋_GBK" w:eastAsia="方正仿宋_GBK" w:hint="eastAsia"/>
          <w:sz w:val="32"/>
          <w:szCs w:val="32"/>
        </w:rPr>
        <w:t>公开</w:t>
      </w:r>
      <w:r>
        <w:rPr>
          <w:rFonts w:ascii="方正仿宋_GBK" w:eastAsia="方正仿宋_GBK"/>
          <w:sz w:val="32"/>
          <w:szCs w:val="32"/>
        </w:rPr>
        <w:t>工作质效。</w:t>
      </w:r>
    </w:p>
    <w:p>
      <w:pPr>
        <w:spacing w:line="56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  <w:lang w:bidi="ar-SA"/>
        </w:rPr>
        <w:t>（一）</w:t>
      </w:r>
      <w:r>
        <w:rPr>
          <w:rFonts w:ascii="方正楷体_GBK" w:eastAsia="方正楷体_GBK"/>
          <w:b/>
          <w:bCs/>
          <w:sz w:val="32"/>
          <w:szCs w:val="32"/>
          <w:lang w:bidi="ar-SA"/>
        </w:rPr>
        <w:t>加强</w:t>
      </w:r>
      <w:r>
        <w:rPr>
          <w:rFonts w:ascii="方正楷体_GBK" w:eastAsia="方正楷体_GBK" w:hint="eastAsia"/>
          <w:b/>
          <w:bCs/>
          <w:sz w:val="32"/>
          <w:szCs w:val="32"/>
          <w:lang w:bidi="ar-SA"/>
        </w:rPr>
        <w:t>组织领导，</w:t>
      </w:r>
      <w:r>
        <w:rPr>
          <w:rFonts w:ascii="方正楷体_GBK" w:eastAsia="方正楷体_GBK"/>
          <w:b/>
          <w:bCs/>
          <w:sz w:val="32"/>
          <w:szCs w:val="32"/>
          <w:lang w:bidi="ar-SA"/>
        </w:rPr>
        <w:t>压实主体</w:t>
      </w:r>
      <w:r>
        <w:rPr>
          <w:rFonts w:ascii="方正楷体_GBK" w:eastAsia="方正楷体_GBK" w:hint="eastAsia"/>
          <w:b/>
          <w:bCs/>
          <w:sz w:val="32"/>
          <w:szCs w:val="32"/>
          <w:lang w:bidi="ar-SA"/>
        </w:rPr>
        <w:t>责任。</w:t>
      </w:r>
      <w:r>
        <w:rPr>
          <w:rFonts w:ascii="Times New Roman" w:eastAsia="方正仿宋_GBK" w:hAnsi="Times New Roman"/>
          <w:sz w:val="32"/>
          <w:szCs w:val="32"/>
          <w:lang w:bidi="ar-SA"/>
        </w:rPr>
        <w:t>党委班子高度重视、加强检查指导，组织办公室对政府信息公开情况进行评估总结，有力督促各科室认真履职、密切配合、明确分工，严格执行</w:t>
      </w:r>
      <w:r>
        <w:rPr>
          <w:rFonts w:ascii="Times New Roman" w:eastAsia="方正仿宋_GBK" w:hAnsi="Times New Roman"/>
          <w:kern w:val="2"/>
          <w:sz w:val="32"/>
          <w:szCs w:val="32"/>
        </w:rPr>
        <w:t>《</w:t>
      </w:r>
      <w:r>
        <w:rPr>
          <w:rFonts w:ascii="Times New Roman" w:eastAsia="方正仿宋_GBK" w:hAnsi="Times New Roman"/>
          <w:sz w:val="32"/>
          <w:szCs w:val="32"/>
          <w:lang w:bidi="ar-SA"/>
        </w:rPr>
        <w:t>海关领域基层政务公开标准</w:t>
      </w:r>
      <w:r>
        <w:rPr>
          <w:rFonts w:ascii="Times New Roman" w:eastAsia="方正仿宋_GBK" w:hAnsi="Times New Roman"/>
          <w:kern w:val="2"/>
          <w:sz w:val="32"/>
          <w:szCs w:val="32"/>
        </w:rPr>
        <w:t>指引》</w:t>
      </w:r>
      <w:r>
        <w:rPr>
          <w:rFonts w:ascii="Times New Roman" w:eastAsia="方正仿宋_GBK" w:hAnsi="Times New Roman"/>
          <w:sz w:val="32"/>
          <w:szCs w:val="32"/>
          <w:lang w:bidi="ar-SA"/>
        </w:rPr>
        <w:t>《满洲里海关基层政务公开标准目录》要求，为深化政务公开建设提供有力保障。</w:t>
      </w:r>
    </w:p>
    <w:p>
      <w:pPr>
        <w:spacing w:line="56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  <w:lang w:bidi="ar-SA"/>
        </w:rPr>
        <w:t>（</w:t>
      </w:r>
      <w:r>
        <w:rPr>
          <w:rFonts w:ascii="方正楷体_GBK" w:eastAsia="方正楷体_GBK"/>
          <w:b/>
          <w:bCs/>
          <w:sz w:val="32"/>
          <w:szCs w:val="32"/>
          <w:lang w:bidi="ar-SA"/>
        </w:rPr>
        <w:t>二</w:t>
      </w:r>
      <w:r>
        <w:rPr>
          <w:rFonts w:ascii="方正楷体_GBK" w:eastAsia="方正楷体_GBK" w:hint="eastAsia"/>
          <w:b/>
          <w:bCs/>
          <w:sz w:val="32"/>
          <w:szCs w:val="32"/>
          <w:lang w:bidi="ar-SA"/>
        </w:rPr>
        <w:t>）</w:t>
      </w:r>
      <w:r>
        <w:rPr>
          <w:rFonts w:ascii="方正楷体_GBK" w:eastAsia="方正楷体_GBK"/>
          <w:b/>
          <w:bCs/>
          <w:sz w:val="32"/>
          <w:szCs w:val="32"/>
          <w:lang w:bidi="ar-SA"/>
        </w:rPr>
        <w:t>严密工作流程，规范日常管理。</w:t>
      </w:r>
      <w:r>
        <w:rPr>
          <w:rFonts w:ascii="Times New Roman" w:eastAsia="方正仿宋_GBK" w:hAnsi="Times New Roman"/>
          <w:bCs/>
          <w:sz w:val="32"/>
          <w:szCs w:val="32"/>
          <w:lang w:bidi="ar-SA"/>
        </w:rPr>
        <w:t>严格执行</w:t>
      </w:r>
      <w:r>
        <w:rPr>
          <w:rFonts w:ascii="Times New Roman" w:eastAsia="方正仿宋_GBK" w:hAnsi="Times New Roman"/>
          <w:kern w:val="2"/>
          <w:sz w:val="32"/>
          <w:szCs w:val="32"/>
        </w:rPr>
        <w:t>信息发布工作流程和公开审查工作要求，</w:t>
      </w:r>
      <w:r>
        <w:rPr>
          <w:rFonts w:ascii="方正仿宋_GBK" w:eastAsia="方正仿宋_GBK"/>
          <w:sz w:val="32"/>
          <w:szCs w:val="32"/>
        </w:rPr>
        <w:t>规范</w:t>
      </w:r>
      <w:r>
        <w:rPr>
          <w:rFonts w:ascii="Times New Roman" w:eastAsia="方正仿宋_GBK" w:hAnsi="Times New Roman"/>
          <w:sz w:val="32"/>
          <w:szCs w:val="32"/>
          <w:lang w:bidi="ar-SA"/>
        </w:rPr>
        <w:t>开展政府信息公开申请接收、</w:t>
      </w:r>
      <w:r>
        <w:rPr>
          <w:rFonts w:ascii="Times New Roman" w:eastAsia="方正仿宋_GBK" w:hAnsi="Times New Roman"/>
          <w:kern w:val="2"/>
          <w:sz w:val="32"/>
          <w:szCs w:val="32"/>
        </w:rPr>
        <w:t>登记、审核、办理、答复、归档等工作</w:t>
      </w:r>
      <w:r>
        <w:rPr>
          <w:rFonts w:ascii="Times New Roman" w:eastAsia="方正仿宋_GBK" w:hAnsi="Times New Roman"/>
          <w:bCs/>
          <w:sz w:val="32"/>
          <w:szCs w:val="32"/>
        </w:rPr>
        <w:t>。</w:t>
      </w:r>
      <w:r>
        <w:rPr>
          <w:rFonts w:ascii="Times New Roman" w:eastAsia="方正仿宋_GBK" w:hAnsi="Times New Roman"/>
          <w:sz w:val="32"/>
          <w:szCs w:val="32"/>
        </w:rPr>
        <w:t>认真落实</w:t>
      </w:r>
      <w:r>
        <w:rPr>
          <w:rFonts w:ascii="方正仿宋_GBK" w:eastAsia="方正仿宋_GBK"/>
          <w:sz w:val="32"/>
          <w:szCs w:val="32"/>
        </w:rPr>
        <w:t>《满洲里海关基层政务公开标准目录</w:t>
      </w:r>
      <w:r>
        <w:rPr>
          <w:rFonts w:ascii="Times New Roman" w:eastAsia="方正仿宋_GBK" w:hAnsi="Times New Roman"/>
          <w:sz w:val="32"/>
          <w:szCs w:val="32"/>
        </w:rPr>
        <w:t>（2022年）</w:t>
      </w:r>
      <w:r>
        <w:rPr>
          <w:rFonts w:ascii="方正仿宋_GBK" w:eastAsia="方正仿宋_GBK"/>
          <w:sz w:val="32"/>
          <w:szCs w:val="32"/>
        </w:rPr>
        <w:t>》</w:t>
      </w:r>
      <w:r>
        <w:rPr>
          <w:rFonts w:ascii="方正仿宋_GBK" w:eastAsia="方正仿宋_GBK"/>
          <w:sz w:val="32"/>
          <w:szCs w:val="32"/>
          <w:lang w:bidi="ar-SA"/>
        </w:rPr>
        <w:t>要求，</w:t>
      </w:r>
      <w:r>
        <w:rPr>
          <w:rFonts w:ascii="Times New Roman" w:eastAsia="方正仿宋_GBK" w:hAnsi="Times New Roman"/>
          <w:sz w:val="32"/>
          <w:szCs w:val="32"/>
          <w:lang w:bidi="ar-SA"/>
        </w:rPr>
        <w:t>安排专人办理、按层级审批复核，压实各岗位工作责任。畅通政务公开监督反馈渠道，落实</w:t>
      </w:r>
      <w:r>
        <w:rPr>
          <w:rFonts w:ascii="Times New Roman" w:eastAsia="方正仿宋_GBK" w:hAnsi="Times New Roman" w:hint="eastAsia"/>
          <w:sz w:val="32"/>
          <w:szCs w:val="32"/>
          <w:lang w:bidi="ar-SA"/>
        </w:rPr>
        <w:t>“</w:t>
      </w:r>
      <w:r>
        <w:rPr>
          <w:rFonts w:ascii="Times New Roman" w:eastAsia="方正仿宋_GBK" w:hAnsi="Times New Roman"/>
          <w:sz w:val="32"/>
          <w:szCs w:val="32"/>
          <w:lang w:bidi="ar-SA"/>
        </w:rPr>
        <w:t>关长接待日</w:t>
      </w:r>
      <w:r>
        <w:rPr>
          <w:rFonts w:ascii="Times New Roman" w:eastAsia="方正仿宋_GBK" w:hAnsi="Times New Roman" w:hint="eastAsia"/>
          <w:sz w:val="32"/>
          <w:szCs w:val="32"/>
          <w:lang w:bidi="ar-SA"/>
        </w:rPr>
        <w:t>”</w:t>
      </w:r>
      <w:r>
        <w:rPr>
          <w:rFonts w:ascii="Times New Roman" w:eastAsia="方正仿宋_GBK" w:hAnsi="Times New Roman"/>
          <w:sz w:val="32"/>
          <w:szCs w:val="32"/>
          <w:lang w:bidi="ar-SA"/>
        </w:rPr>
        <w:t>各项要求，设置接收信访投诉和意见建议渠道，规范落实信访工作相关要求，对申请诉求依法合规办理。2025年通过满洲里海关门户网站累计主动公开信息14条，内容涉及额布都格口岸监管作业场所场地抽查结果公示、关长接待日安排、采购公告、中标合同公示、行政执法统计年报、新闻动态等。</w:t>
      </w:r>
    </w:p>
    <w:p>
      <w:pPr>
        <w:spacing w:line="560" w:lineRule="exact"/>
        <w:ind w:firstLineChars="200" w:firstLine="640"/>
        <w:jc w:val="both"/>
        <w:rPr>
          <w:rFonts w:eastAsia="方正仿宋_GBK"/>
          <w:kern w:val="0"/>
          <w:sz w:val="32"/>
          <w:szCs w:val="32"/>
          <w:lang w:bidi="ar-SA"/>
        </w:rPr>
      </w:pPr>
      <w:r>
        <w:rPr>
          <w:rFonts w:ascii="方正楷体_GBK" w:eastAsia="方正楷体_GBK" w:hint="eastAsia"/>
          <w:b/>
          <w:bCs/>
          <w:sz w:val="32"/>
          <w:szCs w:val="32"/>
          <w:lang w:bidi="ar-SA"/>
        </w:rPr>
        <w:t>（</w:t>
      </w:r>
      <w:r>
        <w:rPr>
          <w:rFonts w:ascii="方正楷体_GBK" w:eastAsia="方正楷体_GBK"/>
          <w:b/>
          <w:bCs/>
          <w:sz w:val="32"/>
          <w:szCs w:val="32"/>
          <w:lang w:bidi="ar-SA"/>
        </w:rPr>
        <w:t>三</w:t>
      </w:r>
      <w:r>
        <w:rPr>
          <w:rFonts w:ascii="方正楷体_GBK" w:eastAsia="方正楷体_GBK" w:hint="eastAsia"/>
          <w:b/>
          <w:bCs/>
          <w:sz w:val="32"/>
          <w:szCs w:val="32"/>
          <w:lang w:bidi="ar-SA"/>
        </w:rPr>
        <w:t>）</w:t>
      </w:r>
      <w:r>
        <w:rPr>
          <w:rFonts w:ascii="方正楷体_GBK" w:eastAsia="方正楷体_GBK"/>
          <w:b/>
          <w:bCs/>
          <w:sz w:val="32"/>
          <w:szCs w:val="32"/>
          <w:lang w:bidi="ar-SA"/>
        </w:rPr>
        <w:t>广泛宣讲普法，践行新时代</w:t>
      </w:r>
      <w:r>
        <w:rPr>
          <w:rFonts w:ascii="方正楷体_GBK" w:eastAsia="方正楷体_GBK" w:hint="eastAsia"/>
          <w:b/>
          <w:bCs/>
          <w:sz w:val="32"/>
          <w:szCs w:val="32"/>
          <w:lang w:bidi="ar-SA"/>
        </w:rPr>
        <w:t>“</w:t>
      </w:r>
      <w:r>
        <w:rPr>
          <w:rFonts w:ascii="方正楷体_GBK" w:eastAsia="方正楷体_GBK"/>
          <w:b/>
          <w:bCs/>
          <w:sz w:val="32"/>
          <w:szCs w:val="32"/>
          <w:lang w:bidi="ar-SA"/>
        </w:rPr>
        <w:t>枫桥经验</w:t>
      </w:r>
      <w:r>
        <w:rPr>
          <w:rFonts w:ascii="方正楷体_GBK" w:eastAsia="方正楷体_GBK" w:hint="eastAsia"/>
          <w:b/>
          <w:bCs/>
          <w:sz w:val="32"/>
          <w:szCs w:val="32"/>
          <w:lang w:bidi="ar-SA"/>
        </w:rPr>
        <w:t>”</w:t>
      </w:r>
      <w:r>
        <w:rPr>
          <w:rFonts w:ascii="方正楷体_GBK" w:eastAsia="方正楷体_GBK"/>
          <w:b/>
          <w:bCs/>
          <w:sz w:val="32"/>
          <w:szCs w:val="32"/>
          <w:lang w:bidi="ar-SA"/>
        </w:rPr>
        <w:t>。</w:t>
      </w:r>
      <w:r>
        <w:rPr>
          <w:rFonts w:ascii="Times New Roman" w:eastAsia="方正仿宋_GBK" w:hAnsi="Times New Roman"/>
          <w:bCs/>
          <w:sz w:val="32"/>
          <w:szCs w:val="32"/>
        </w:rPr>
        <w:t>扎实</w:t>
      </w:r>
      <w:r>
        <w:rPr>
          <w:rFonts w:eastAsia="方正仿宋_GBK"/>
          <w:sz w:val="32"/>
          <w:szCs w:val="32"/>
        </w:rPr>
        <w:t>落实</w:t>
      </w:r>
      <w:r>
        <w:rPr>
          <w:rFonts w:eastAsia="方正仿宋_GBK" w:hint="eastAsia"/>
          <w:sz w:val="32"/>
          <w:szCs w:val="32"/>
        </w:rPr>
        <w:t>“谁执法谁普法”责任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/>
          <w:kern w:val="0"/>
          <w:sz w:val="32"/>
          <w:szCs w:val="32"/>
          <w:lang w:bidi="ar-SA"/>
        </w:rPr>
        <w:t>坚持首问负责制，</w:t>
      </w:r>
      <w:r>
        <w:rPr>
          <w:rFonts w:ascii="Times New Roman" w:eastAsia="方正仿宋_GBK" w:hAnsi="Times New Roman"/>
          <w:bCs/>
          <w:kern w:val="32"/>
          <w:sz w:val="32"/>
          <w:szCs w:val="44"/>
        </w:rPr>
        <w:t>在额布都格口岸设立</w:t>
      </w:r>
      <w:r>
        <w:rPr>
          <w:rFonts w:ascii="Times New Roman" w:eastAsia="方正仿宋_GBK" w:hAnsi="Times New Roman" w:hint="eastAsia"/>
          <w:bCs/>
          <w:kern w:val="32"/>
          <w:sz w:val="32"/>
          <w:szCs w:val="44"/>
        </w:rPr>
        <w:t>“枫桥经验”</w:t>
      </w:r>
      <w:r>
        <w:rPr>
          <w:rFonts w:ascii="Times New Roman" w:eastAsia="方正仿宋_GBK" w:hAnsi="Times New Roman"/>
          <w:bCs/>
          <w:kern w:val="32"/>
          <w:sz w:val="32"/>
          <w:szCs w:val="44"/>
        </w:rPr>
        <w:t>工作室，提供</w:t>
      </w:r>
      <w:r>
        <w:rPr>
          <w:rFonts w:ascii="Times New Roman" w:eastAsia="方正仿宋_GBK" w:hAnsi="Times New Roman" w:hint="eastAsia"/>
          <w:bCs/>
          <w:kern w:val="32"/>
          <w:sz w:val="32"/>
          <w:szCs w:val="44"/>
        </w:rPr>
        <w:t>“一站式”</w:t>
      </w:r>
      <w:r>
        <w:rPr>
          <w:rFonts w:ascii="Times New Roman" w:eastAsia="方正仿宋_GBK" w:hAnsi="Times New Roman"/>
          <w:bCs/>
          <w:kern w:val="32"/>
          <w:sz w:val="32"/>
          <w:szCs w:val="44"/>
        </w:rPr>
        <w:t>服务</w:t>
      </w:r>
      <w:r>
        <w:rPr>
          <w:rFonts w:ascii="Times New Roman" w:eastAsia="方正仿宋_GBK" w:hAnsi="Times New Roman" w:hint="eastAsia"/>
          <w:bCs/>
          <w:kern w:val="32"/>
          <w:sz w:val="32"/>
          <w:szCs w:val="44"/>
        </w:rPr>
        <w:t>，面对面解答咨询</w:t>
      </w:r>
      <w:r>
        <w:rPr>
          <w:rFonts w:ascii="Times New Roman" w:eastAsia="方正仿宋_GBK" w:hAnsi="Times New Roman"/>
          <w:bCs/>
          <w:kern w:val="32"/>
          <w:sz w:val="32"/>
          <w:szCs w:val="44"/>
        </w:rPr>
        <w:t>、</w:t>
      </w:r>
      <w:r>
        <w:rPr>
          <w:rFonts w:ascii="Times New Roman" w:eastAsia="方正仿宋_GBK" w:hAnsi="Times New Roman" w:hint="eastAsia"/>
          <w:bCs/>
          <w:kern w:val="32"/>
          <w:sz w:val="32"/>
          <w:szCs w:val="44"/>
        </w:rPr>
        <w:t>及时化解矛盾</w:t>
      </w:r>
      <w:r>
        <w:rPr>
          <w:rFonts w:ascii="Times New Roman" w:eastAsia="方正仿宋_GBK" w:hAnsi="Times New Roman"/>
          <w:bCs/>
          <w:kern w:val="32"/>
          <w:sz w:val="32"/>
          <w:szCs w:val="44"/>
        </w:rPr>
        <w:t>。</w:t>
      </w:r>
      <w:r>
        <w:rPr>
          <w:rFonts w:ascii="Times New Roman" w:eastAsia="方正仿宋_GBK" w:hAnsi="Times New Roman"/>
          <w:sz w:val="32"/>
          <w:szCs w:val="32"/>
          <w:lang w:bidi="ar-SA"/>
        </w:rPr>
        <w:t>在执法过程中同步普法，用好</w:t>
      </w:r>
      <w:r>
        <w:rPr>
          <w:rFonts w:ascii="方正仿宋_GBK" w:eastAsia="方正仿宋_GBK" w:hint="eastAsia"/>
          <w:sz w:val="32"/>
          <w:szCs w:val="32"/>
          <w:lang w:bidi="ar-SA"/>
        </w:rPr>
        <w:t>“关长</w:t>
      </w:r>
      <w:r>
        <w:rPr>
          <w:rFonts w:ascii="方正仿宋_GBK" w:eastAsia="方正仿宋_GBK"/>
          <w:sz w:val="32"/>
          <w:szCs w:val="32"/>
          <w:lang w:bidi="ar-SA"/>
        </w:rPr>
        <w:t>联系重点企业</w:t>
      </w:r>
      <w:r>
        <w:rPr>
          <w:rFonts w:ascii="方正仿宋_GBK" w:eastAsia="方正仿宋_GBK" w:hint="eastAsia"/>
          <w:sz w:val="32"/>
          <w:szCs w:val="32"/>
          <w:lang w:bidi="ar-SA"/>
        </w:rPr>
        <w:t>”“</w:t>
      </w:r>
      <w:r>
        <w:rPr>
          <w:rFonts w:ascii="方正仿宋_GBK" w:eastAsia="方正仿宋_GBK"/>
          <w:sz w:val="32"/>
          <w:szCs w:val="32"/>
          <w:lang w:bidi="ar-SA"/>
        </w:rPr>
        <w:t>企业问题清零</w:t>
      </w:r>
      <w:r>
        <w:rPr>
          <w:rFonts w:ascii="方正仿宋_GBK" w:eastAsia="方正仿宋_GBK" w:hint="eastAsia"/>
          <w:sz w:val="32"/>
          <w:szCs w:val="32"/>
          <w:lang w:bidi="ar-SA"/>
        </w:rPr>
        <w:t>”</w:t>
      </w:r>
      <w:r>
        <w:rPr>
          <w:rFonts w:ascii="方正仿宋_GBK" w:eastAsia="方正仿宋_GBK"/>
          <w:sz w:val="32"/>
          <w:szCs w:val="32"/>
          <w:lang w:bidi="ar-SA"/>
        </w:rPr>
        <w:t>等机制</w:t>
      </w:r>
      <w:r>
        <w:rPr>
          <w:rFonts w:ascii="Times New Roman" w:eastAsia="方正仿宋_GBK" w:hAnsi="Times New Roman"/>
          <w:sz w:val="32"/>
          <w:szCs w:val="32"/>
          <w:lang w:bidi="ar-SA"/>
        </w:rPr>
        <w:t>，</w:t>
      </w:r>
      <w:r>
        <w:rPr>
          <w:rFonts w:ascii="Times New Roman" w:eastAsia="方正仿宋_GBK" w:hAnsi="Times New Roman"/>
          <w:sz w:val="32"/>
          <w:szCs w:val="32"/>
        </w:rPr>
        <w:t>班子成员带头</w:t>
      </w:r>
      <w:r>
        <w:rPr>
          <w:rFonts w:ascii="Times New Roman" w:eastAsia="方正仿宋_GBK" w:hAnsi="Times New Roman" w:hint="eastAsia"/>
          <w:sz w:val="32"/>
          <w:szCs w:val="32"/>
        </w:rPr>
        <w:t>开展关企座谈、</w:t>
      </w:r>
      <w:r>
        <w:rPr>
          <w:rFonts w:ascii="Times New Roman" w:eastAsia="方正仿宋_GBK" w:hAnsi="Times New Roman"/>
          <w:sz w:val="32"/>
          <w:szCs w:val="32"/>
        </w:rPr>
        <w:t>赴口岸跟班作业、进行实地调研，</w:t>
      </w:r>
      <w:r>
        <w:rPr>
          <w:rFonts w:ascii="Times New Roman" w:eastAsia="方正仿宋_GBK" w:hAnsi="Times New Roman" w:hint="eastAsia"/>
          <w:sz w:val="32"/>
          <w:szCs w:val="32"/>
          <w:lang w:bidi="ar-SA"/>
        </w:rPr>
        <w:t>“</w:t>
      </w:r>
      <w:r>
        <w:rPr>
          <w:rFonts w:ascii="Times New Roman" w:eastAsia="方正仿宋_GBK" w:hAnsi="Times New Roman"/>
          <w:sz w:val="32"/>
          <w:szCs w:val="32"/>
          <w:lang w:bidi="ar-SA"/>
        </w:rPr>
        <w:t>精准滴灌</w:t>
      </w:r>
      <w:r>
        <w:rPr>
          <w:rFonts w:ascii="Times New Roman" w:eastAsia="方正仿宋_GBK" w:hAnsi="Times New Roman" w:hint="eastAsia"/>
          <w:sz w:val="32"/>
          <w:szCs w:val="32"/>
          <w:lang w:bidi="ar-SA"/>
        </w:rPr>
        <w:t>”解决</w:t>
      </w:r>
      <w:r>
        <w:rPr>
          <w:rFonts w:ascii="Times New Roman" w:eastAsia="方正仿宋_GBK" w:hAnsi="Times New Roman"/>
          <w:sz w:val="32"/>
          <w:szCs w:val="32"/>
          <w:lang w:bidi="ar-SA"/>
        </w:rPr>
        <w:t>企业</w:t>
      </w:r>
      <w:r>
        <w:rPr>
          <w:rFonts w:ascii="Times New Roman" w:eastAsia="方正仿宋_GBK" w:hAnsi="Times New Roman" w:hint="eastAsia"/>
          <w:sz w:val="32"/>
          <w:szCs w:val="32"/>
          <w:lang w:bidi="ar-SA"/>
        </w:rPr>
        <w:t>疑难</w:t>
      </w:r>
      <w:r>
        <w:rPr>
          <w:rFonts w:ascii="Times New Roman" w:eastAsia="方正仿宋_GBK" w:hAnsi="Times New Roman"/>
          <w:sz w:val="32"/>
          <w:szCs w:val="32"/>
          <w:lang w:bidi="ar-SA"/>
        </w:rPr>
        <w:t>问题</w:t>
      </w:r>
      <w:r>
        <w:rPr>
          <w:rFonts w:ascii="Times New Roman" w:eastAsia="方正仿宋_GBK" w:hAnsi="Times New Roman" w:hint="eastAsia"/>
          <w:sz w:val="32"/>
          <w:szCs w:val="32"/>
          <w:lang w:bidi="ar-SA"/>
        </w:rPr>
        <w:t>。</w:t>
      </w:r>
      <w:r>
        <w:rPr>
          <w:rFonts w:eastAsia="方正仿宋_GBK"/>
          <w:kern w:val="0"/>
          <w:sz w:val="32"/>
          <w:szCs w:val="32"/>
          <w:lang w:bidi="ar-SA"/>
        </w:rPr>
        <w:t>依托满洲里海关门户网站、关企政策交流微信群等渠道，及时解答业务咨询，主动</w:t>
      </w:r>
      <w:r>
        <w:rPr>
          <w:rFonts w:eastAsia="方正仿宋_GBK"/>
          <w:snapToGrid w:val="0"/>
          <w:kern w:val="32"/>
          <w:sz w:val="32"/>
          <w:szCs w:val="32"/>
          <w:lang w:eastAsia="zh-CN"/>
        </w:rPr>
        <w:t>邀请特</w:t>
      </w:r>
      <w:r>
        <w:rPr>
          <w:rFonts w:ascii="方正仿宋_GBK" w:eastAsia="方正仿宋_GBK" w:hint="eastAsia"/>
          <w:snapToGrid w:val="0"/>
          <w:kern w:val="32"/>
          <w:sz w:val="32"/>
          <w:szCs w:val="32"/>
          <w:lang w:eastAsia="zh-CN"/>
        </w:rPr>
        <w:t>约监督员“走进海关”</w:t>
      </w:r>
      <w:r>
        <w:rPr>
          <w:rFonts w:ascii="方正仿宋_GBK" w:eastAsia="方正仿宋_GBK"/>
          <w:snapToGrid w:val="0"/>
          <w:kern w:val="32"/>
          <w:sz w:val="32"/>
          <w:szCs w:val="32"/>
          <w:lang w:eastAsia="zh-CN"/>
        </w:rPr>
        <w:t>，</w:t>
      </w:r>
      <w:r>
        <w:rPr>
          <w:rFonts w:ascii="Times New Roman" w:eastAsia="方正仿宋_GBK" w:hAnsi="Times New Roman" w:hint="eastAsia"/>
          <w:sz w:val="32"/>
          <w:szCs w:val="32"/>
          <w:lang w:bidi="ar-SA"/>
        </w:rPr>
        <w:t>征求意见建议</w:t>
      </w:r>
      <w:r>
        <w:rPr>
          <w:rFonts w:ascii="Times New Roman" w:eastAsia="方正仿宋_GBK" w:hAnsi="Times New Roman"/>
          <w:sz w:val="32"/>
          <w:szCs w:val="32"/>
          <w:lang w:bidi="ar-SA"/>
        </w:rPr>
        <w:t>，畅通沟通渠道。</w:t>
      </w:r>
    </w:p>
    <w:p>
      <w:pPr>
        <w:pStyle w:val="110"/>
        <w:adjustRightInd w:val="0"/>
        <w:snapToGrid w:val="0"/>
        <w:spacing w:beforeLines="50" w:before="120" w:afterLines="50" w:after="120"/>
        <w:ind w:firstLineChars="200" w:firstLine="624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3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4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5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6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7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</w:tbl>
    <w:p>
      <w:pPr>
        <w:pStyle w:val="119"/>
        <w:widowControl/>
        <w:shd w:val="clear" w:color="auto" w:fill="FFFFFF"/>
        <w:adjustRightInd w:val="0"/>
        <w:snapToGrid w:val="0"/>
        <w:spacing w:beforeAutospacing="0" w:afterLines="50" w:after="120" w:afterAutospacing="0" w:line="560" w:lineRule="exact"/>
        <w:ind w:left="0"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11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11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11"/>
              <w:widowControl/>
              <w:spacing w:line="560" w:lineRule="exact"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11"/>
              <w:widowControl/>
              <w:spacing w:line="560" w:lineRule="exact"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11"/>
              <w:widowControl/>
              <w:spacing w:line="560" w:lineRule="exact"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11"/>
              <w:widowControl/>
              <w:spacing w:line="560" w:lineRule="exact"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119"/>
        <w:widowControl/>
        <w:shd w:val="clear" w:color="auto" w:fill="FFFFFF"/>
        <w:spacing w:beforeLines="50" w:before="120" w:beforeAutospacing="0" w:after="120" w:afterAutospacing="0" w:line="560" w:lineRule="exact"/>
        <w:ind w:firstLineChars="200" w:firstLine="640"/>
        <w:jc w:val="both"/>
        <w:rPr>
          <w:rFonts w:ascii="宋体" w:cs="宋体" w:hint="eastAsia"/>
          <w:szCs w:val="24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101"/>
        <w:widowControl/>
        <w:shd w:val="clear" w:color="auto" w:fill="FFFFFF"/>
        <w:spacing w:beforeLines="50" w:before="120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五、存在的主要问题及改进情况</w:t>
      </w:r>
    </w:p>
    <w:p>
      <w:pPr>
        <w:pStyle w:val="102"/>
        <w:adjustRightInd w:val="0"/>
        <w:snapToGrid w:val="0"/>
        <w:ind w:firstLineChars="200" w:firstLine="624"/>
        <w:rPr>
          <w:rFonts w:ascii="方正楷体_GBK" w:eastAsia="方正楷体_GBK" w:hint="eastAsia"/>
          <w:b/>
          <w:bCs/>
        </w:rPr>
      </w:pPr>
      <w:r>
        <w:rPr>
          <w:rFonts w:ascii="方正楷体_GBK" w:eastAsia="方正楷体_GBK" w:hint="eastAsia"/>
          <w:b/>
          <w:bCs/>
        </w:rPr>
        <w:t>（一）</w:t>
      </w:r>
      <w:r>
        <w:rPr>
          <w:rFonts w:eastAsia="方正楷体_GBK"/>
          <w:b/>
          <w:bCs/>
        </w:rPr>
        <w:t>2024</w:t>
      </w:r>
      <w:r>
        <w:rPr>
          <w:rFonts w:ascii="方正楷体_GBK" w:eastAsia="方正楷体_GBK" w:hint="eastAsia"/>
          <w:b/>
          <w:bCs/>
        </w:rPr>
        <w:t>年年报中所提问题整改情况。</w:t>
      </w:r>
    </w:p>
    <w:p>
      <w:pPr>
        <w:pStyle w:val="264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调动业务骨干参与政务公开工作的积极性仍有待进一步提升</w:t>
      </w:r>
      <w:r>
        <w:rPr>
          <w:rFonts w:eastAsia="方正仿宋_GBK" w:hint="eastAsia"/>
          <w:sz w:val="32"/>
          <w:szCs w:val="32"/>
        </w:rPr>
        <w:t>”的问题已</w:t>
      </w:r>
      <w:r>
        <w:rPr>
          <w:rFonts w:eastAsia="方正仿宋_GBK"/>
          <w:sz w:val="32"/>
          <w:szCs w:val="32"/>
        </w:rPr>
        <w:t>完成</w:t>
      </w:r>
      <w:r>
        <w:rPr>
          <w:rFonts w:eastAsia="方正仿宋_GBK" w:hint="eastAsia"/>
          <w:sz w:val="32"/>
          <w:szCs w:val="32"/>
        </w:rPr>
        <w:t>整改</w:t>
      </w:r>
      <w:r>
        <w:rPr>
          <w:rFonts w:eastAsia="方正仿宋_GBK"/>
          <w:sz w:val="32"/>
          <w:szCs w:val="32"/>
        </w:rPr>
        <w:t>，具体措施如下：一是提高思想认识，组织各科认真学习《海关领域基层政务公开标准指引》工作要求，深刻认识政府信息公开工作是优化营商环境、提升基层治理能力的内在要求，提升全员责任意识、规则意识；二是密切科室间分工协作，规范办理流程，更新完善科室职责，督促主责科室规范落实政府信息公开要求，严守法定时限标准；三是加大岗位培训力度，开展政府信</w:t>
      </w:r>
      <w:r>
        <w:rPr>
          <w:rFonts w:eastAsia="方正仿宋_GBK"/>
          <w:color w:val="000000"/>
          <w:sz w:val="32"/>
          <w:szCs w:val="32"/>
        </w:rPr>
        <w:t>息公开专项培训，及时通达工作要求，提升工作质效。</w:t>
      </w:r>
    </w:p>
    <w:p>
      <w:pPr>
        <w:pStyle w:val="265"/>
        <w:spacing w:line="560" w:lineRule="exact"/>
        <w:ind w:firstLineChars="200" w:firstLine="640"/>
        <w:rPr>
          <w:rFonts w:ascii="Times New Roman" w:eastAsia="方正仿宋_GBK" w:hAnsi="Times New Roman"/>
          <w:b/>
          <w:bCs/>
          <w:color w:val="00000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z w:val="32"/>
          <w:szCs w:val="32"/>
        </w:rPr>
        <w:t>（二）目前存在问题</w:t>
      </w:r>
      <w:r>
        <w:rPr>
          <w:rFonts w:ascii="方正楷体_GBK" w:eastAsia="方正楷体_GBK"/>
          <w:b/>
          <w:bCs/>
          <w:color w:val="000000"/>
          <w:sz w:val="32"/>
          <w:szCs w:val="32"/>
        </w:rPr>
        <w:t>及下一步工作计划</w:t>
      </w:r>
      <w:r>
        <w:rPr>
          <w:rFonts w:ascii="方正楷体_GBK" w:eastAsia="方正楷体_GBK" w:hint="eastAsia"/>
          <w:b/>
          <w:bCs/>
          <w:color w:val="000000"/>
          <w:sz w:val="32"/>
          <w:szCs w:val="32"/>
        </w:rPr>
        <w:t>。</w:t>
      </w:r>
    </w:p>
    <w:p>
      <w:pPr>
        <w:pStyle w:val="264"/>
        <w:spacing w:line="560" w:lineRule="exact"/>
        <w:ind w:firstLineChars="200" w:firstLine="640"/>
        <w:rPr>
          <w:rFonts w:eastAsia="方正仿宋_GBK" w:hint="eastAsia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政府信息公开内容</w:t>
      </w:r>
      <w:r>
        <w:rPr>
          <w:rFonts w:eastAsia="方正仿宋_GBK"/>
          <w:color w:val="000000"/>
          <w:sz w:val="32"/>
          <w:szCs w:val="32"/>
        </w:rPr>
        <w:t>表述的规范性还有不足，</w:t>
      </w:r>
      <w:r>
        <w:rPr>
          <w:rFonts w:eastAsia="方正仿宋_GBK" w:hint="eastAsia"/>
          <w:color w:val="000000"/>
          <w:sz w:val="32"/>
          <w:szCs w:val="32"/>
        </w:rPr>
        <w:t>审核把关需更加严格细致。下一步，额布都格海关将持续用力，抓好范政府信息公开工作，强化制度执行，严格审核计划公开内容，依法依规确定公开内容。拓展政府信息公开渠道，加强专业人才培养，推进各环节协同联动。</w:t>
      </w:r>
    </w:p>
    <w:p>
      <w:pPr>
        <w:pStyle w:val="104"/>
        <w:spacing w:line="560" w:lineRule="exact"/>
        <w:ind w:firstLineChars="200" w:firstLine="640"/>
        <w:rPr>
          <w:rFonts w:ascii="方正黑体_GBK" w:eastAsia="方正黑体_GBK" w:cs="楷体_GB2312" w:hint="eastAsia"/>
          <w:bCs/>
          <w:color w:val="000000"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color w:val="000000"/>
          <w:sz w:val="32"/>
          <w:szCs w:val="32"/>
          <w:shd w:val="clear" w:color="auto" w:fill="FFFFFF"/>
          <w:lang w:bidi="ar-SA"/>
        </w:rPr>
        <w:t>六、其他需要报告的事项</w:t>
      </w:r>
    </w:p>
    <w:p>
      <w:pPr>
        <w:pStyle w:val="106"/>
        <w:adjustRightInd w:val="0"/>
        <w:snapToGrid w:val="0"/>
        <w:ind w:firstLineChars="200" w:firstLine="624"/>
        <w:rPr>
          <w:rFonts w:ascii="方正仿宋_GBK" w:eastAsia="方正仿宋_GBK" w:hint="eastAsia"/>
          <w:color w:val="000000"/>
          <w:sz w:val="32"/>
          <w:szCs w:val="32"/>
        </w:rPr>
      </w:pPr>
      <w:r>
        <w:rPr>
          <w:rFonts w:ascii="方正仿宋_GBK" w:eastAsia="方正仿宋_GBK" w:hint="eastAsia"/>
          <w:color w:val="000000"/>
        </w:rPr>
        <w:t>无。</w:t>
      </w:r>
    </w:p>
    <w:sectPr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楷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Calibri">
    <w:panose1 w:val="020F0502020204030204"/>
    <w:charset w:val="00"/>
    <w:family w:val="auto"/>
    <w:pitch w:val="variable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15CB8685"/>
    <w:multiLevelType w:val="singleLevel"/>
    <w:tmpl w:val="00000000"/>
    <w:lvl w:ilvl="0">
      <w:start w:val="1"/>
      <w:numFmt w:val="bullet"/>
      <w:lvlRestart w:val="0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1">
    <w:nsid w:val="0FFFFF7D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1620"/>
        </w:tabs>
        <w:ind w:left="16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toc 7"/>
    <w:basedOn w:val="0"/>
    <w:autoRedefine/>
    <w:next w:val="0"/>
    <w:pPr>
      <w:ind w:left="2520"/>
    </w:pPr>
  </w:style>
  <w:style w:type="paragraph" w:styleId="17">
    <w:name w:val="footnote text"/>
    <w:basedOn w:val="0"/>
    <w:pPr>
      <w:snapToGrid w:val="0"/>
      <w:jc w:val="left"/>
    </w:pPr>
    <w:rPr>
      <w:sz w:val="18"/>
    </w:rPr>
  </w:style>
  <w:style w:type="paragraph" w:styleId="18">
    <w:name w:val="annotation text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19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0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1">
    <w:name w:val="table of authorities"/>
    <w:basedOn w:val="0"/>
    <w:next w:val="0"/>
    <w:pPr>
      <w:ind w:left="420"/>
    </w:pPr>
  </w:style>
  <w:style w:type="paragraph" w:styleId="22">
    <w:name w:val="toa heading"/>
    <w:basedOn w:val="0"/>
    <w:next w:val="0"/>
    <w:pPr>
      <w:spacing w:before="120"/>
    </w:pPr>
    <w:rPr>
      <w:rFonts w:ascii="Arial" w:hAnsi="Arial"/>
      <w:sz w:val="24"/>
    </w:rPr>
  </w:style>
  <w:style w:type="paragraph" w:styleId="23">
    <w:name w:val="List Bullet 5"/>
    <w:basedOn w:val="0"/>
    <w:pPr>
      <w:numPr>
        <w:ilvl w:val="0"/>
        <w:numId w:val="1"/>
      </w:numPr>
    </w:pPr>
  </w:style>
  <w:style w:type="paragraph" w:styleId="24">
    <w:name w:val="List Number 4"/>
    <w:basedOn w:val="0"/>
    <w:pPr>
      <w:numPr>
        <w:ilvl w:val="0"/>
        <w:numId w:val="2"/>
      </w:numPr>
    </w:pPr>
  </w:style>
  <w:style w:type="paragraph" w:styleId="25">
    <w:name w:val="Signature"/>
    <w:basedOn w:val="0"/>
    <w:pPr>
      <w:ind w:left="4320"/>
    </w:pPr>
  </w:style>
  <w:style w:type="paragraph" w:styleId="26">
    <w:name w:val="List Continue 2"/>
    <w:basedOn w:val="0"/>
    <w:pPr>
      <w:spacing w:after="120"/>
      <w:ind w:left="840"/>
    </w:pPr>
  </w:style>
  <w:style w:type="paragraph" w:styleId="27">
    <w:name w:val="List Continue 3"/>
    <w:basedOn w:val="0"/>
    <w:pPr>
      <w:spacing w:after="120"/>
      <w:ind w:left="1260"/>
    </w:pPr>
  </w:style>
  <w:style w:type="paragraph" w:styleId="28">
    <w:name w:val="Body Text 2"/>
    <w:basedOn w:val="0"/>
    <w:pPr>
      <w:spacing w:after="120" w:line="480" w:lineRule="auto"/>
    </w:pPr>
  </w:style>
  <w:style w:type="paragraph" w:styleId="29">
    <w:name w:val="Body Text 3"/>
    <w:basedOn w:val="0"/>
    <w:pPr>
      <w:spacing w:after="120"/>
    </w:pPr>
    <w:rPr>
      <w:sz w:val="16"/>
    </w:rPr>
  </w:style>
  <w:style w:type="paragraph" w:styleId="30">
    <w:name w:val="Body Text Indent 2"/>
    <w:basedOn w:val="0"/>
    <w:pPr>
      <w:spacing w:after="120" w:line="480" w:lineRule="auto"/>
      <w:ind w:left="420"/>
    </w:pPr>
  </w:style>
  <w:style w:type="paragraph" w:styleId="31">
    <w:name w:val="Body Text Indent 3"/>
    <w:basedOn w:val="0"/>
    <w:pPr>
      <w:spacing w:after="120"/>
      <w:ind w:left="420"/>
    </w:pPr>
    <w:rPr>
      <w:sz w:val="16"/>
    </w:rPr>
  </w:style>
  <w:style w:type="paragraph" w:styleId="32">
    <w:name w:val="Block Text"/>
    <w:basedOn w:val="0"/>
    <w:pPr>
      <w:spacing w:after="120"/>
      <w:ind w:left="140" w:rightChars="700" w:right="700"/>
    </w:pPr>
  </w:style>
  <w:style w:type="character" w:styleId="33">
    <w:name w:val="Hyperlink"/>
    <w:basedOn w:val="10"/>
    <w:rPr>
      <w:color w:val="0000FF"/>
      <w:u w:val="single"/>
    </w:rPr>
  </w:style>
  <w:style w:type="character" w:styleId="34">
    <w:name w:val="FollowedHyperlink"/>
    <w:basedOn w:val="10"/>
    <w:rPr>
      <w:color w:val="800080"/>
      <w:u w:val="single"/>
    </w:rPr>
  </w:style>
  <w:style w:type="character" w:styleId="35">
    <w:name w:val="Strong"/>
    <w:basedOn w:val="10"/>
    <w:rPr>
      <w:b/>
    </w:rPr>
  </w:style>
  <w:style w:type="character" w:styleId="36">
    <w:name w:val="Emphasis"/>
    <w:basedOn w:val="10"/>
    <w:rPr>
      <w:i/>
    </w:rPr>
  </w:style>
  <w:style w:type="paragraph" w:styleId="37">
    <w:name w:val="Document Map"/>
    <w:basedOn w:val="0"/>
    <w:pPr>
      <w:shd w:val="clear" w:color="auto" w:fill="000080"/>
    </w:pPr>
  </w:style>
  <w:style w:type="paragraph" w:styleId="38">
    <w:name w:val="Plain Text"/>
    <w:basedOn w:val="0"/>
    <w:rPr>
      <w:rFonts w:ascii="Courier New" w:eastAsia="宋体" w:hAnsi="Courier New"/>
    </w:rPr>
  </w:style>
  <w:style w:type="paragraph" w:styleId="39">
    <w:name w:val="E-mail Signature"/>
    <w:basedOn w:val="0"/>
  </w:style>
  <w:style w:type="paragraph" w:styleId="40">
    <w:name w:val="Normal (Web)"/>
    <w:next w:val="15"/>
    <w:pPr>
      <w:widowControl w:val="0"/>
      <w:spacing w:beforeAutospacing="1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ar-SA"/>
    </w:rPr>
  </w:style>
  <w:style w:type="character" w:styleId="41">
    <w:name w:val="HTML Acronym"/>
    <w:basedOn w:val="10"/>
  </w:style>
  <w:style w:type="paragraph" w:styleId="42">
    <w:name w:val="HTML Address"/>
    <w:basedOn w:val="0"/>
    <w:rPr>
      <w:i/>
    </w:rPr>
  </w:style>
  <w:style w:type="character" w:styleId="43">
    <w:name w:val="HTML Cite"/>
    <w:basedOn w:val="10"/>
    <w:rPr>
      <w:i/>
    </w:rPr>
  </w:style>
  <w:style w:type="character" w:styleId="44">
    <w:name w:val="HTML Code"/>
    <w:basedOn w:val="10"/>
    <w:rPr>
      <w:rFonts w:ascii="Courier New" w:hAnsi="Courier New"/>
      <w:sz w:val="20"/>
    </w:rPr>
  </w:style>
  <w:style w:type="character" w:styleId="45">
    <w:name w:val="HTML Definition"/>
    <w:basedOn w:val="10"/>
    <w:rPr>
      <w:i/>
    </w:rPr>
  </w:style>
  <w:style w:type="character" w:styleId="46">
    <w:name w:val="HTML Keyboard"/>
    <w:basedOn w:val="10"/>
    <w:rPr>
      <w:rFonts w:ascii="Courier New" w:hAnsi="Courier New"/>
      <w:sz w:val="20"/>
    </w:rPr>
  </w:style>
  <w:style w:type="paragraph" w:styleId="47">
    <w:name w:val="HTML Preformatted"/>
    <w:basedOn w:val="0"/>
    <w:rPr>
      <w:rFonts w:ascii="Courier New" w:hAnsi="Courier New"/>
      <w:sz w:val="20"/>
    </w:rPr>
  </w:style>
  <w:style w:type="character" w:styleId="48">
    <w:name w:val="HTML Sample"/>
    <w:basedOn w:val="10"/>
    <w:rPr>
      <w:rFonts w:ascii="Courier New" w:hAnsi="Courier New"/>
    </w:rPr>
  </w:style>
  <w:style w:type="character" w:styleId="49">
    <w:name w:val="HTML Typewriter"/>
    <w:basedOn w:val="10"/>
    <w:rPr>
      <w:rFonts w:ascii="Courier New" w:hAnsi="Courier New"/>
      <w:sz w:val="20"/>
    </w:rPr>
  </w:style>
  <w:style w:type="character" w:styleId="50">
    <w:name w:val="HTML Variable"/>
    <w:basedOn w:val="10"/>
    <w:rPr>
      <w:i/>
    </w:rPr>
  </w:style>
  <w:style w:type="paragraph" w:styleId="51">
    <w:name w:val="annotation subject"/>
    <w:basedOn w:val="18"/>
    <w:next w:val="18"/>
    <w:rPr>
      <w:b/>
    </w:rPr>
  </w:style>
  <w:style w:type="paragraph" w:styleId="52">
    <w:name w:val="Balloon Text"/>
    <w:basedOn w:val="0"/>
    <w:next w:val="0"/>
    <w:rPr>
      <w:sz w:val="18"/>
    </w:rPr>
  </w:style>
  <w:style w:type="paragraph" w:customStyle="1" w:styleId="53">
    <w:name w:val="正文文字"/>
    <w:basedOn w:val="0"/>
    <w:next w:val="0"/>
    <w:pPr>
      <w:spacing w:after="120"/>
    </w:pPr>
  </w:style>
  <w:style w:type="paragraph" w:customStyle="1" w:styleId="54">
    <w:name w:val="正文文字 1"/>
    <w:basedOn w:val="0"/>
    <w:autoRedefine/>
    <w:next w:val="0"/>
    <w:pPr>
      <w:ind w:left="240"/>
    </w:pPr>
    <w:rPr>
      <w:sz w:val="28"/>
    </w:rPr>
  </w:style>
  <w:style w:type="paragraph" w:customStyle="1" w:styleId="55">
    <w:name w:val="正文文字 2"/>
    <w:basedOn w:val="0"/>
    <w:autoRedefine/>
    <w:next w:val="0"/>
    <w:pPr>
      <w:ind w:left="240"/>
    </w:pPr>
    <w:rPr>
      <w:rFonts w:ascii="Arial" w:hAnsi="Arial"/>
      <w:sz w:val="28"/>
    </w:rPr>
  </w:style>
  <w:style w:type="paragraph" w:customStyle="1" w:styleId="56">
    <w:name w:val="正文文字 3"/>
    <w:basedOn w:val="0"/>
    <w:autoRedefine/>
    <w:next w:val="0"/>
    <w:pPr>
      <w:ind w:left="240"/>
    </w:pPr>
    <w:rPr>
      <w:sz w:val="28"/>
    </w:rPr>
  </w:style>
  <w:style w:type="paragraph" w:customStyle="1" w:styleId="57">
    <w:name w:val="正文文字 4"/>
    <w:basedOn w:val="0"/>
    <w:autoRedefine/>
    <w:next w:val="0"/>
    <w:pPr>
      <w:ind w:left="240"/>
    </w:pPr>
    <w:rPr>
      <w:sz w:val="24"/>
    </w:rPr>
  </w:style>
  <w:style w:type="paragraph" w:customStyle="1" w:styleId="58">
    <w:name w:val="正文文字 5"/>
    <w:basedOn w:val="0"/>
    <w:autoRedefine/>
    <w:next w:val="0"/>
    <w:pPr>
      <w:ind w:left="240"/>
    </w:pPr>
    <w:rPr>
      <w:sz w:val="24"/>
    </w:rPr>
  </w:style>
  <w:style w:type="paragraph" w:customStyle="1" w:styleId="59">
    <w:name w:val="正文文字 6"/>
    <w:basedOn w:val="0"/>
    <w:autoRedefine/>
    <w:next w:val="0"/>
    <w:pPr>
      <w:ind w:left="240"/>
    </w:pPr>
    <w:rPr>
      <w:sz w:val="20"/>
    </w:rPr>
  </w:style>
  <w:style w:type="paragraph" w:customStyle="1" w:styleId="60">
    <w:name w:val="正文文字 7"/>
    <w:basedOn w:val="0"/>
    <w:autoRedefine/>
    <w:next w:val="0"/>
    <w:pPr>
      <w:ind w:left="240"/>
    </w:pPr>
    <w:rPr>
      <w:sz w:val="20"/>
    </w:rPr>
  </w:style>
  <w:style w:type="paragraph" w:customStyle="1" w:styleId="61">
    <w:name w:val="正文文字 8"/>
    <w:basedOn w:val="0"/>
    <w:autoRedefine/>
    <w:next w:val="0"/>
    <w:pPr>
      <w:ind w:left="240"/>
    </w:pPr>
    <w:rPr>
      <w:sz w:val="16"/>
    </w:rPr>
  </w:style>
  <w:style w:type="paragraph" w:customStyle="1" w:styleId="62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63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64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65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66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67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68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69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70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71">
    <w:name w:val="样式 10 小四"/>
    <w:next w:val="132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72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">
    <w:name w:val="样式 1 小四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74">
    <w:name w:val="样式 2 小四"/>
    <w:pPr>
      <w:widowControl w:val="0"/>
      <w:spacing w:before="100" w:beforeAutospacing="1" w:after="100" w:afterAutospacing="1"/>
      <w:ind w:left="0" w:right="0"/>
      <w:jc w:val="left"/>
    </w:pPr>
    <w:rPr>
      <w:rFonts w:ascii="Calibri" w:eastAsia="宋体" w:cs="Times New Roman" w:hAnsi="Calibri"/>
      <w:kern w:val="0"/>
      <w:sz w:val="24"/>
      <w:szCs w:val="24"/>
      <w:lang w:val="en-US" w:eastAsia="zh-CN" w:bidi="ar-SA"/>
    </w:rPr>
  </w:style>
  <w:style w:type="paragraph" w:customStyle="1" w:styleId="75">
    <w:name w:val="样式 3 小四"/>
    <w:next w:val="175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">
    <w:name w:val="样式 6 三号"/>
    <w:next w:val="21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-4"/>
      <w:w w:val="100"/>
      <w:kern w:val="2"/>
      <w:position w:val="0"/>
      <w:sz w:val="32"/>
      <w:szCs w:val="28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77">
    <w:name w:val="样式 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">
    <w:name w:val="样式 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">
    <w:name w:val="样式 70 小四"/>
    <w:next w:val="56"/>
    <w:pPr>
      <w:widowControl w:val="0"/>
      <w:spacing w:before="100" w:beforeAutospacing="1" w:after="100" w:afterAutospacing="1"/>
    </w:pPr>
    <w:rPr>
      <w:rFonts w:ascii="Calibri" w:eastAsia="宋体" w:cs="Times New Roman" w:hAnsi="Calibri"/>
      <w:sz w:val="24"/>
      <w:szCs w:val="24"/>
      <w:lang w:val="en-US" w:eastAsia="zh-CN" w:bidi="ar-SA"/>
    </w:rPr>
  </w:style>
  <w:style w:type="paragraph" w:customStyle="1" w:styleId="80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">
    <w:name w:val="样式 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">
    <w:name w:val="样式 8 小四"/>
    <w:pPr>
      <w:widowControl w:val="0"/>
      <w:spacing w:before="100" w:beforeAutospacing="1" w:after="100" w:afterAutospacing="1"/>
    </w:pPr>
    <w:rPr>
      <w:rFonts w:ascii="Calibri" w:eastAsia="宋体" w:cs="Times New Roman" w:hAnsi="Calibri"/>
      <w:sz w:val="24"/>
      <w:szCs w:val="24"/>
      <w:lang w:val="en-US" w:eastAsia="zh-CN" w:bidi="ar-SA"/>
    </w:rPr>
  </w:style>
  <w:style w:type="paragraph" w:customStyle="1" w:styleId="83">
    <w:name w:val="样式 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4">
    <w:name w:val="样式 11 小四"/>
    <w:pPr>
      <w:widowControl w:val="0"/>
      <w:spacing w:before="100" w:beforeAutospacing="1" w:after="100" w:afterAutospacing="1"/>
    </w:pPr>
    <w:rPr>
      <w:rFonts w:ascii="Calibri" w:eastAsia="宋体" w:cs="Times New Roman" w:hAnsi="Calibri"/>
      <w:sz w:val="24"/>
      <w:szCs w:val="24"/>
      <w:lang w:val="en-US" w:eastAsia="zh-CN" w:bidi="ar-SA"/>
    </w:rPr>
  </w:style>
  <w:style w:type="paragraph" w:customStyle="1" w:styleId="85">
    <w:name w:val="样式 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6">
    <w:name w:val="样式 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7">
    <w:name w:val="样式 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8">
    <w:name w:val="样式 139 10 磅"/>
    <w:next w:val="18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9">
    <w:name w:val="样式 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0">
    <w:name w:val="样式 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1">
    <w:name w:val="样式 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2">
    <w:name w:val="样式 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3">
    <w:name w:val="样式 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4">
    <w:name w:val="样式 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5">
    <w:name w:val="样式 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">
    <w:name w:val="样式 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">
    <w:name w:val="样式 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">
    <w:name w:val="样式 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">
    <w:name w:val="样式 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">
    <w:name w:val="样式 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">
    <w:name w:val="样式 27 小四"/>
    <w:pPr>
      <w:widowControl w:val="0"/>
      <w:spacing w:beforeAutospacing="1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ar-SA"/>
    </w:rPr>
  </w:style>
  <w:style w:type="paragraph" w:customStyle="1" w:styleId="102">
    <w:name w:val="样式 8 三号"/>
    <w:next w:val="22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103">
    <w:name w:val="样式 7 10 磅"/>
    <w:next w:val="167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104">
    <w:name w:val="样式 10 磅"/>
    <w:next w:val="143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105">
    <w:name w:val="样式 12 10 磅"/>
    <w:next w:val="172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106">
    <w:name w:val="样式 19 三号"/>
    <w:next w:val="148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107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108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109">
    <w:name w:val="样式 28 小四"/>
    <w:pPr>
      <w:widowControl w:val="0"/>
      <w:spacing w:before="100" w:beforeAutospacing="1" w:after="100" w:afterAutospacing="1"/>
    </w:pPr>
    <w:rPr>
      <w:rFonts w:ascii="Calibri" w:eastAsia="宋体" w:cs="Times New Roman" w:hAnsi="Calibri"/>
      <w:sz w:val="24"/>
      <w:szCs w:val="24"/>
      <w:lang w:val="en-US" w:eastAsia="zh-CN" w:bidi="ar-SA"/>
    </w:rPr>
  </w:style>
  <w:style w:type="paragraph" w:customStyle="1" w:styleId="110">
    <w:name w:val="样式 50 三号"/>
    <w:next w:val="16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111">
    <w:name w:val="样式 小三"/>
    <w:next w:val="1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2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3">
    <w:name w:val="样式 5 小三"/>
    <w:next w:val="2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4">
    <w:name w:val="样式 16 小三"/>
    <w:next w:val="2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5">
    <w:name w:val="样式 8 小三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6">
    <w:name w:val="样式 17 小三"/>
    <w:next w:val="2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7">
    <w:name w:val="样式 12 小三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8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119">
    <w:name w:val="样式 29 小四"/>
    <w:pPr>
      <w:widowControl w:val="0"/>
      <w:spacing w:beforeAutospacing="1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ar-SA"/>
    </w:rPr>
  </w:style>
  <w:style w:type="paragraph" w:customStyle="1" w:styleId="120">
    <w:name w:val="样式 21 小三"/>
    <w:next w:val="2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1">
    <w:name w:val="样式 23 小三"/>
    <w:next w:val="3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2">
    <w:name w:val="样式 25 小三"/>
    <w:next w:val="3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3">
    <w:name w:val="样式 27 小三"/>
    <w:next w:val="3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4">
    <w:name w:val="样式 29 小三"/>
    <w:next w:val="3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5">
    <w:name w:val="样式 31 小三"/>
    <w:next w:val="3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6">
    <w:name w:val="样式 33 小三"/>
    <w:next w:val="4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7">
    <w:name w:val="样式 22 小三"/>
    <w:next w:val="2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8">
    <w:name w:val="样式 24 小三"/>
    <w:next w:val="3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9">
    <w:name w:val="样式 26 小三"/>
    <w:next w:val="3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0">
    <w:name w:val="样式 28 小三"/>
    <w:next w:val="3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1">
    <w:name w:val="样式 30 小三"/>
    <w:next w:val="3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2">
    <w:name w:val="样式 32 小三"/>
    <w:next w:val="3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3">
    <w:name w:val="样式 34 小三"/>
    <w:next w:val="4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4">
    <w:name w:val="样式 35 小三"/>
    <w:next w:val="4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5">
    <w:name w:val="样式 36 小三"/>
    <w:next w:val="4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6">
    <w:name w:val="样式 37 小三"/>
    <w:next w:val="4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7">
    <w:name w:val="样式 38 小三"/>
    <w:next w:val="4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8">
    <w:name w:val="样式 39 小三"/>
    <w:next w:val="4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9">
    <w:name w:val="样式 40 小三"/>
    <w:next w:val="4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0">
    <w:name w:val="样式 41 小三"/>
    <w:next w:val="4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1">
    <w:name w:val="样式 42 小三"/>
    <w:next w:val="4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2">
    <w:name w:val="样式 43 小三"/>
    <w:next w:val="5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3">
    <w:name w:val="样式 44 小三"/>
    <w:next w:val="5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4">
    <w:name w:val="样式 45 小三"/>
    <w:next w:val="5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5">
    <w:name w:val="样式 46 小三"/>
    <w:next w:val="5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6">
    <w:name w:val="样式 47 小三"/>
    <w:next w:val="5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7">
    <w:name w:val="样式 48 小三"/>
    <w:next w:val="5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8">
    <w:name w:val="样式 49 小三"/>
    <w:next w:val="5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9">
    <w:name w:val="样式 50 小三"/>
    <w:next w:val="5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0">
    <w:name w:val="样式 51 小三"/>
    <w:next w:val="5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1">
    <w:name w:val="样式 52 小三"/>
    <w:next w:val="5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2">
    <w:name w:val="样式 53 小三"/>
    <w:next w:val="6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3">
    <w:name w:val="样式 54 小三"/>
    <w:next w:val="6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4">
    <w:name w:val="样式 55 小三"/>
    <w:next w:val="6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5">
    <w:name w:val="样式 56 小三"/>
    <w:next w:val="6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6">
    <w:name w:val="样式 57 小三"/>
    <w:next w:val="6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7">
    <w:name w:val="样式 58 小三"/>
    <w:next w:val="6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8">
    <w:name w:val="样式 59 小三"/>
    <w:next w:val="6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9">
    <w:name w:val="样式 60 小三"/>
    <w:next w:val="6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0">
    <w:name w:val="样式 61 小三"/>
    <w:next w:val="6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1">
    <w:name w:val="样式 62 小三"/>
    <w:next w:val="6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2">
    <w:name w:val="样式 63 小三"/>
    <w:next w:val="7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3">
    <w:name w:val="样式 64 小三"/>
    <w:next w:val="7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4">
    <w:name w:val="样式 65 小三"/>
    <w:next w:val="7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5">
    <w:name w:val="样式 66 小三"/>
    <w:next w:val="7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6">
    <w:name w:val="样式 67 小三"/>
    <w:next w:val="7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7">
    <w:name w:val="样式 68 小三"/>
    <w:next w:val="7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8">
    <w:name w:val="样式 69 小三"/>
    <w:next w:val="7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9">
    <w:name w:val="样式 70 小三"/>
    <w:next w:val="7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0">
    <w:name w:val="样式 71 小三"/>
    <w:next w:val="7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1">
    <w:name w:val="样式 72 小三"/>
    <w:next w:val="7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2">
    <w:name w:val="样式 73 小三"/>
    <w:next w:val="8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3">
    <w:name w:val="样式 74 小三"/>
    <w:next w:val="8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4">
    <w:name w:val="样式 75 小三"/>
    <w:next w:val="8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5">
    <w:name w:val="样式 76 小三"/>
    <w:next w:val="8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6">
    <w:name w:val="样式 77 小三"/>
    <w:next w:val="8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7">
    <w:name w:val="样式 78 小三"/>
    <w:next w:val="8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8">
    <w:name w:val="样式 79 小三"/>
    <w:next w:val="8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9">
    <w:name w:val="样式 80 小三"/>
    <w:next w:val="8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0">
    <w:name w:val="样式 81 小三"/>
    <w:next w:val="8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1">
    <w:name w:val="样式 82 小三"/>
    <w:next w:val="8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2">
    <w:name w:val="样式 83 小三"/>
    <w:next w:val="9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3">
    <w:name w:val="样式 84 小三"/>
    <w:next w:val="9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4">
    <w:name w:val="样式 85 小三"/>
    <w:next w:val="9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5">
    <w:name w:val="样式 86 小三"/>
    <w:next w:val="9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6">
    <w:name w:val="样式 87 小三"/>
    <w:next w:val="9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7">
    <w:name w:val="样式 88 小三"/>
    <w:next w:val="9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8">
    <w:name w:val="样式 89 小三"/>
    <w:next w:val="9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9">
    <w:name w:val="样式 90 小三"/>
    <w:next w:val="9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0">
    <w:name w:val="样式 91 小三"/>
    <w:next w:val="9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1">
    <w:name w:val="样式 92 小三"/>
    <w:next w:val="9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2">
    <w:name w:val="样式 93 小三"/>
    <w:next w:val="10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3">
    <w:name w:val="样式 94 小三"/>
    <w:next w:val="10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4">
    <w:name w:val="样式 95 小三"/>
    <w:next w:val="10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5">
    <w:name w:val="样式 96 小三"/>
    <w:next w:val="10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6">
    <w:name w:val="样式 97 小三"/>
    <w:next w:val="10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7">
    <w:name w:val="样式 98 小三"/>
    <w:next w:val="10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8">
    <w:name w:val="样式 99 小三"/>
    <w:next w:val="10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9">
    <w:name w:val="样式 100 小三"/>
    <w:next w:val="10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0">
    <w:name w:val="样式 101 小三"/>
    <w:next w:val="10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1">
    <w:name w:val="样式 102 小三"/>
    <w:next w:val="10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2">
    <w:name w:val="样式 103 小三"/>
    <w:next w:val="11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3">
    <w:name w:val="样式 104 小三"/>
    <w:next w:val="11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4">
    <w:name w:val="样式 105 小三"/>
    <w:next w:val="11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5">
    <w:name w:val="样式 106 小三"/>
    <w:next w:val="11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6">
    <w:name w:val="样式 107 小三"/>
    <w:next w:val="11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7">
    <w:name w:val="样式 108 小三"/>
    <w:next w:val="11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8">
    <w:name w:val="样式 109 小三"/>
    <w:next w:val="11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9">
    <w:name w:val="样式 110 小三"/>
    <w:next w:val="11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0">
    <w:name w:val="样式 111 小三"/>
    <w:next w:val="11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1">
    <w:name w:val="样式 112 小三"/>
    <w:next w:val="11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2">
    <w:name w:val="样式 113 小三"/>
    <w:next w:val="12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3">
    <w:name w:val="样式 114 小三"/>
    <w:next w:val="12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4">
    <w:name w:val="样式 115 小三"/>
    <w:next w:val="12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5">
    <w:name w:val="样式 116 小三"/>
    <w:next w:val="12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6">
    <w:name w:val="样式 117 小三"/>
    <w:next w:val="1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7">
    <w:name w:val="样式 118 小三"/>
    <w:next w:val="12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8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19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20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1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22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23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24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25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26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27">
    <w:name w:val="样式 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28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29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30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31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32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33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34">
    <w:name w:val="样式 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5">
    <w:name w:val="样式 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6">
    <w:name w:val="样式 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7">
    <w:name w:val="样式 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8">
    <w:name w:val="样式 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9">
    <w:name w:val="样式 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0">
    <w:name w:val="样式 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1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42">
    <w:name w:val="样式 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3">
    <w:name w:val="样式 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4">
    <w:name w:val="样式 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5">
    <w:name w:val="样式 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6">
    <w:name w:val="样式 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7">
    <w:name w:val="样式 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8">
    <w:name w:val="样式 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9">
    <w:name w:val="样式 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0">
    <w:name w:val="样式 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1">
    <w:name w:val="样式 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2">
    <w:name w:val="样式 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3">
    <w:name w:val="样式 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4">
    <w:name w:val="样式 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5">
    <w:name w:val="样式 76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2"/>
      <w:position w:val="0"/>
      <w:sz w:val="21"/>
      <w:szCs w:val="20"/>
      <w:u w:val="none" w:color="auto"/>
      <w:vertAlign w:val="baseline"/>
      <w:lang w:val="en-US" w:eastAsia="zh-CN" w:bidi="ar-SA"/>
    </w:rPr>
  </w:style>
  <w:style w:type="paragraph" w:customStyle="1" w:styleId="256">
    <w:name w:val="样式 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7">
    <w:name w:val="样式 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8">
    <w:name w:val="样式 75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宋体" w:cs="Times New Roman" w:hAnsi="Times New Roman"/>
      <w:snapToGrid/>
      <w:color w:val="auto"/>
      <w:spacing w:val="0"/>
      <w:w w:val="100"/>
      <w:kern w:val="2"/>
      <w:position w:val="0"/>
      <w:sz w:val="21"/>
      <w:szCs w:val="20"/>
      <w:u w:val="none" w:color="auto"/>
      <w:vertAlign w:val="baseline"/>
      <w:lang w:val="en-US" w:eastAsia="zh-CN" w:bidi="ar-SA"/>
    </w:rPr>
  </w:style>
  <w:style w:type="paragraph" w:customStyle="1" w:styleId="259">
    <w:name w:val="样式 98 三号"/>
    <w:next w:val="186"/>
    <w:pPr>
      <w:widowControl w:val="0"/>
      <w:spacing w:line="578" w:lineRule="exact"/>
      <w:jc w:val="both"/>
    </w:pPr>
    <w:rPr>
      <w:rFonts w:ascii="Times New Roman" w:eastAsia="仿宋_GB2312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60">
    <w:name w:val="样式 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1">
    <w:name w:val="样式 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2">
    <w:name w:val="样式 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3">
    <w:name w:val="样式 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4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65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66">
    <w:name w:val="样式 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7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68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2045</TotalTime>
  <Application>Yozo_Office</Application>
  <Pages>6</Pages>
  <Words>2136</Words>
  <Characters>2172</Characters>
  <Lines>419</Lines>
  <Paragraphs>304</Paragraphs>
  <CharactersWithSpaces>2172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张馨桐</dc:creator>
  <cp:lastModifiedBy>MZLHG</cp:lastModifiedBy>
  <cp:revision>1</cp:revision>
  <cp:lastPrinted>2025-01-06T08:17:32Z</cp:lastPrinted>
  <dcterms:created xsi:type="dcterms:W3CDTF">2025-01-06T03:34:36Z</dcterms:created>
  <dcterms:modified xsi:type="dcterms:W3CDTF">2026-01-16T09:39:56Z</dcterms:modified>
</cp:coreProperties>
</file>