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left="0"/>
        <w:jc w:val="left"/>
        <w:rPr>
          <w:rFonts w:ascii="Times New Roman" w:eastAsia="方正黑体_GBK" w:hAnsi="Times New Roman" w:hint="eastAsia"/>
          <w:color w:val="000000"/>
          <w:sz w:val="32"/>
          <w:szCs w:val="32"/>
        </w:rPr>
      </w:pPr>
      <w:bookmarkStart w:id="0" w:name="_GoBack"/>
      <w:bookmarkEnd w:id="0"/>
      <w:r>
        <w:rPr>
          <w:rFonts w:ascii="Times New Roman" w:eastAsia="方正黑体_GBK" w:hAnsi="Times New Roman" w:hint="eastAsia"/>
          <w:color w:val="000000"/>
          <w:sz w:val="32"/>
          <w:szCs w:val="32"/>
        </w:rPr>
        <w:t>附件</w:t>
      </w:r>
    </w:p>
    <w:p>
      <w:pPr>
        <w:spacing w:line="560" w:lineRule="exact"/>
        <w:ind w:left="0"/>
        <w:jc w:val="center"/>
        <w:rPr>
          <w:rFonts w:ascii="Times New Roman" w:eastAsia="方正小标宋_GBK" w:hAnsi="Times New Roman"/>
          <w:color w:val="000000"/>
          <w:sz w:val="36"/>
          <w:szCs w:val="36"/>
        </w:rPr>
      </w:pPr>
      <w:r>
        <w:rPr>
          <w:rFonts w:ascii="Times New Roman" w:eastAsia="方正小标宋_GBK" w:hAnsi="Times New Roman" w:hint="eastAsia"/>
          <w:color w:val="000000"/>
          <w:sz w:val="36"/>
          <w:szCs w:val="36"/>
        </w:rPr>
        <w:t>内河运输及其相关费用不计入进口货物</w:t>
      </w:r>
    </w:p>
    <w:p>
      <w:pPr>
        <w:spacing w:line="560" w:lineRule="exact"/>
        <w:ind w:left="0"/>
        <w:jc w:val="center"/>
        <w:rPr>
          <w:rFonts w:ascii="Times New Roman" w:eastAsia="方正小标宋_GBK" w:hAnsi="Times New Roman"/>
          <w:color w:val="000000"/>
          <w:sz w:val="36"/>
          <w:szCs w:val="36"/>
        </w:rPr>
      </w:pPr>
      <w:r>
        <w:rPr>
          <w:rFonts w:ascii="Times New Roman" w:eastAsia="方正小标宋_GBK" w:hAnsi="Times New Roman" w:hint="eastAsia"/>
          <w:color w:val="000000"/>
          <w:sz w:val="36"/>
          <w:szCs w:val="36"/>
        </w:rPr>
        <w:t>完税价格估价指引</w:t>
      </w:r>
    </w:p>
    <w:p>
      <w:pPr>
        <w:spacing w:line="560" w:lineRule="exact"/>
        <w:ind w:firstLineChars="200" w:firstLine="720"/>
        <w:jc w:val="center"/>
        <w:rPr>
          <w:rFonts w:ascii="Times New Roman" w:eastAsia="方正小标宋_GBK" w:hAnsi="Times New Roman"/>
          <w:color w:val="000000"/>
          <w:sz w:val="36"/>
          <w:szCs w:val="36"/>
        </w:rPr>
      </w:pP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b/>
          <w:bCs/>
          <w:color w:val="000000"/>
          <w:sz w:val="32"/>
          <w:szCs w:val="32"/>
        </w:rPr>
        <w:t>第一条</w:t>
      </w:r>
      <w:r>
        <w:rPr>
          <w:rFonts w:ascii="Times New Roman" w:eastAsia="方正仿宋_GBK" w:hAnsi="Times New Roman"/>
          <w:color w:val="000000"/>
          <w:sz w:val="32"/>
          <w:szCs w:val="32"/>
        </w:rPr>
        <w:t>  为规范海关对进口货物内河运输及其相关费用不计入完税价格的估价管理，根据《中华人民共和国海关法》《中华人民共和国进出口关税条例》《中华人民共和国海关审定进出口货物完税价格办法》（以下简称《审价办法》）等相关规定，制定本指引。</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b/>
          <w:bCs/>
          <w:color w:val="000000"/>
          <w:sz w:val="32"/>
          <w:szCs w:val="32"/>
        </w:rPr>
        <w:t xml:space="preserve">第二条 </w:t>
      </w:r>
      <w:r>
        <w:rPr>
          <w:rFonts w:ascii="Times New Roman" w:eastAsia="方正仿宋_GBK" w:hAnsi="Times New Roman"/>
          <w:color w:val="000000"/>
          <w:sz w:val="32"/>
          <w:szCs w:val="32"/>
        </w:rPr>
        <w:t> 本指引所称内河运输及其相关费用，是指海运进口货物运抵中华人民共和国境内输入地点起卸后通过水运方式继续运输发生的运输及其相关费用。</w:t>
      </w:r>
    </w:p>
    <w:p>
      <w:pPr>
        <w:pStyle w:val="26"/>
        <w:widowControl/>
        <w:tabs>
          <w:tab w:val="left" w:pos="426"/>
        </w:tabs>
        <w:adjustRightInd w:val="0"/>
        <w:snapToGrid w:val="0"/>
        <w:spacing w:line="560" w:lineRule="exact"/>
        <w:ind w:firstLine="643"/>
        <w:rPr>
          <w:rFonts w:ascii="Times New Roman" w:eastAsia="方正仿宋_GBK" w:cs="Times New Roman" w:hAnsi="Times New Roman"/>
          <w:color w:val="000000"/>
          <w:kern w:val="0"/>
          <w:sz w:val="32"/>
          <w:szCs w:val="32"/>
        </w:rPr>
      </w:pPr>
      <w:r>
        <w:rPr>
          <w:rFonts w:ascii="Times New Roman" w:eastAsia="方正仿宋_GBK" w:hAnsi="Times New Roman"/>
          <w:b/>
          <w:bCs/>
          <w:color w:val="000000"/>
          <w:sz w:val="32"/>
          <w:szCs w:val="32"/>
        </w:rPr>
        <w:t>第三条</w:t>
      </w:r>
      <w:r>
        <w:rPr>
          <w:rFonts w:ascii="Times New Roman" w:eastAsia="方正仿宋_GBK" w:hAnsi="Times New Roman"/>
          <w:color w:val="000000"/>
          <w:sz w:val="32"/>
          <w:szCs w:val="32"/>
        </w:rPr>
        <w:t xml:space="preserve">  </w:t>
      </w:r>
      <w:r>
        <w:rPr>
          <w:rFonts w:ascii="Times New Roman" w:eastAsia="方正仿宋_GBK" w:cs="Times New Roman" w:hAnsi="Times New Roman"/>
          <w:color w:val="000000"/>
          <w:kern w:val="0"/>
          <w:sz w:val="32"/>
          <w:szCs w:val="32"/>
        </w:rPr>
        <w:t>运抵中华人民共和国境内输入地点起卸后认定条件：</w:t>
      </w:r>
    </w:p>
    <w:p>
      <w:pPr>
        <w:pStyle w:val="26"/>
        <w:widowControl/>
        <w:tabs>
          <w:tab w:val="left" w:pos="426"/>
        </w:tabs>
        <w:adjustRightInd w:val="0"/>
        <w:snapToGrid w:val="0"/>
        <w:spacing w:line="560" w:lineRule="exact"/>
        <w:ind w:firstLine="643"/>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（一）境内输入地点，是指</w:t>
      </w:r>
      <w:r>
        <w:rPr>
          <w:rFonts w:ascii="Times New Roman" w:eastAsia="方正仿宋_GBK" w:hAnsi="Times New Roman"/>
          <w:color w:val="000000"/>
          <w:sz w:val="32"/>
          <w:szCs w:val="32"/>
        </w:rPr>
        <w:t>在承运进口货物的国际航行工具进入我国关境后，进口货物首次离开该运输工具的地点</w:t>
      </w:r>
      <w:r>
        <w:rPr>
          <w:rFonts w:ascii="Times New Roman" w:eastAsia="方正仿宋_GBK" w:cs="Times New Roman" w:hAnsi="Times New Roman"/>
          <w:color w:val="000000"/>
          <w:kern w:val="0"/>
          <w:sz w:val="32"/>
          <w:szCs w:val="32"/>
        </w:rPr>
        <w:t>；</w:t>
      </w:r>
    </w:p>
    <w:p>
      <w:pPr>
        <w:pStyle w:val="26"/>
        <w:widowControl/>
        <w:tabs>
          <w:tab w:val="left" w:pos="426"/>
        </w:tabs>
        <w:adjustRightInd w:val="0"/>
        <w:snapToGrid w:val="0"/>
        <w:spacing w:line="560" w:lineRule="exact"/>
        <w:ind w:firstLineChars="200" w:firstLine="640"/>
        <w:rPr>
          <w:rFonts w:ascii="Times New Roman" w:eastAsia="方正仿宋_GBK" w:hAnsi="Times New Roman"/>
          <w:color w:val="000000"/>
          <w:sz w:val="32"/>
          <w:szCs w:val="32"/>
          <w:highlight w:val="yellow"/>
        </w:rPr>
      </w:pPr>
      <w:r>
        <w:rPr>
          <w:rFonts w:ascii="Times New Roman" w:eastAsia="方正仿宋_GBK" w:cs="Times New Roman" w:hAnsi="Times New Roman"/>
          <w:color w:val="000000"/>
          <w:kern w:val="0"/>
          <w:sz w:val="32"/>
          <w:szCs w:val="32"/>
        </w:rPr>
        <w:t>（二）</w:t>
      </w:r>
      <w:r>
        <w:rPr>
          <w:rFonts w:ascii="Times New Roman" w:eastAsia="方正仿宋_GBK" w:hAnsi="Times New Roman"/>
          <w:color w:val="000000"/>
          <w:sz w:val="32"/>
          <w:szCs w:val="32"/>
        </w:rPr>
        <w:t>起卸后，是指货物起卸行为开始之后。</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b/>
          <w:bCs/>
          <w:color w:val="000000"/>
          <w:sz w:val="32"/>
          <w:szCs w:val="32"/>
        </w:rPr>
        <w:t>第四条</w:t>
      </w:r>
      <w:r>
        <w:rPr>
          <w:rFonts w:ascii="Times New Roman" w:eastAsia="方正仿宋_GBK" w:hAnsi="Times New Roman"/>
          <w:color w:val="000000"/>
          <w:sz w:val="32"/>
          <w:szCs w:val="32"/>
        </w:rPr>
        <w:t xml:space="preserve"> 内河运输及其相关费用已单独列明或者纳税义务人能按照客观量化标准进行分摊并提供依据的，不计入完税价格。</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 </w:t>
      </w:r>
      <w:r>
        <w:rPr>
          <w:rFonts w:ascii="Times New Roman" w:eastAsia="方正仿宋_GBK" w:hAnsi="Times New Roman"/>
          <w:b/>
          <w:bCs/>
          <w:color w:val="000000"/>
          <w:sz w:val="32"/>
          <w:szCs w:val="32"/>
        </w:rPr>
        <w:t>第五条</w:t>
      </w:r>
      <w:r>
        <w:rPr>
          <w:rFonts w:ascii="Times New Roman" w:eastAsia="方正仿宋_GBK" w:hAnsi="Times New Roman"/>
          <w:color w:val="000000"/>
          <w:sz w:val="32"/>
          <w:szCs w:val="32"/>
        </w:rPr>
        <w:t>  分摊计算时，海关可</w:t>
      </w:r>
      <w:r>
        <w:rPr>
          <w:rFonts w:ascii="Times New Roman" w:eastAsia="方正仿宋_GBK" w:hAnsi="Times New Roman" w:hint="eastAsia"/>
          <w:color w:val="000000"/>
          <w:sz w:val="32"/>
          <w:szCs w:val="32"/>
          <w:lang w:eastAsia="zh-CN"/>
        </w:rPr>
        <w:t>根据</w:t>
      </w:r>
      <w:r>
        <w:rPr>
          <w:rFonts w:ascii="Times New Roman" w:eastAsia="方正仿宋_GBK" w:hAnsi="Times New Roman"/>
          <w:color w:val="000000"/>
          <w:sz w:val="32"/>
          <w:szCs w:val="32"/>
        </w:rPr>
        <w:t>纳税义务人提供</w:t>
      </w:r>
      <w:r>
        <w:rPr>
          <w:rFonts w:ascii="Times New Roman" w:eastAsia="方正仿宋_GBK" w:hAnsi="Times New Roman" w:hint="eastAsia"/>
          <w:color w:val="000000"/>
          <w:sz w:val="32"/>
          <w:szCs w:val="32"/>
          <w:lang w:eastAsia="zh-CN"/>
        </w:rPr>
        <w:t>的</w:t>
      </w:r>
      <w:r>
        <w:rPr>
          <w:rFonts w:ascii="Times New Roman" w:eastAsia="方正仿宋_GBK" w:hAnsi="Times New Roman"/>
          <w:color w:val="000000"/>
          <w:sz w:val="32"/>
          <w:szCs w:val="32"/>
        </w:rPr>
        <w:t>符合客观量化标准的以下依据进行审核：</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（一）承运进口货物运输企业出具的内河运输及其相关费用资料；</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（二）海关接受货物申报之日</w:t>
      </w:r>
      <w:r>
        <w:rPr>
          <w:rFonts w:ascii="Times New Roman" w:eastAsia="方正仿宋_GBK" w:hAnsi="Times New Roman" w:hint="eastAsia"/>
          <w:color w:val="000000"/>
          <w:sz w:val="32"/>
          <w:szCs w:val="32"/>
          <w:lang w:val="en-US" w:eastAsia="zh-CN"/>
        </w:rPr>
        <w:t>的</w:t>
      </w:r>
      <w:r>
        <w:rPr>
          <w:rFonts w:ascii="Times New Roman" w:eastAsia="方正仿宋_GBK" w:hAnsi="Times New Roman"/>
          <w:color w:val="000000"/>
          <w:sz w:val="32"/>
          <w:szCs w:val="32"/>
        </w:rPr>
        <w:t>同时或大约同时（</w:t>
      </w:r>
      <w:r>
        <w:rPr>
          <w:rFonts w:ascii="Times New Roman" w:eastAsia="方正仿宋_GBK" w:hAnsi="Times New Roman" w:hint="eastAsia"/>
          <w:color w:val="000000"/>
          <w:sz w:val="32"/>
          <w:szCs w:val="32"/>
          <w:lang w:eastAsia="zh-CN"/>
        </w:rPr>
        <w:t>前后</w:t>
      </w:r>
      <w:r>
        <w:rPr>
          <w:rFonts w:ascii="Times New Roman" w:eastAsia="方正仿宋_GBK" w:hAnsi="Times New Roman" w:hint="eastAsia"/>
          <w:color w:val="000000"/>
          <w:sz w:val="32"/>
          <w:szCs w:val="32"/>
          <w:lang w:val="en-US" w:eastAsia="zh-CN"/>
        </w:rPr>
        <w:t>45天内</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lang w:val="en-US" w:eastAsia="zh-CN"/>
        </w:rPr>
        <w:t>通常的</w:t>
      </w:r>
      <w:r>
        <w:rPr>
          <w:rFonts w:ascii="Times New Roman" w:eastAsia="方正仿宋_GBK" w:hAnsi="Times New Roman"/>
          <w:color w:val="000000"/>
          <w:sz w:val="32"/>
          <w:szCs w:val="32"/>
          <w:lang w:val="en-US" w:eastAsia="zh-CN"/>
        </w:rPr>
        <w:t>内河</w:t>
      </w:r>
      <w:r>
        <w:rPr>
          <w:rFonts w:ascii="Times New Roman" w:eastAsia="方正仿宋_GBK" w:hAnsi="Times New Roman"/>
          <w:color w:val="000000"/>
          <w:sz w:val="32"/>
          <w:szCs w:val="32"/>
        </w:rPr>
        <w:t>运输及其相关费用；</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（三）第三方中介机构使用与国内公认的会计原则相一致的原则和方法出具的内河运输及其相关费用咨询意见；</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（四）其他符合客观量化标准的分摊依据。</w:t>
      </w:r>
    </w:p>
    <w:p>
      <w:pPr>
        <w:spacing w:line="56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b/>
          <w:bCs/>
          <w:color w:val="000000"/>
          <w:sz w:val="32"/>
          <w:szCs w:val="32"/>
        </w:rPr>
        <w:t xml:space="preserve">第六条 </w:t>
      </w:r>
      <w:r>
        <w:rPr>
          <w:rFonts w:ascii="Times New Roman" w:eastAsia="方正仿宋_GBK" w:hAnsi="Times New Roman"/>
          <w:color w:val="000000"/>
          <w:sz w:val="32"/>
          <w:szCs w:val="32"/>
        </w:rPr>
        <w:t> 进口货物申报价格未含运输及其相关费用且符合第</w:t>
      </w:r>
      <w:r>
        <w:rPr>
          <w:rFonts w:ascii="Times New Roman" w:eastAsia="方正仿宋_GBK" w:hAnsi="Times New Roman"/>
          <w:color w:val="000000"/>
          <w:sz w:val="32"/>
          <w:szCs w:val="32"/>
          <w:lang w:eastAsia="zh-CN"/>
        </w:rPr>
        <w:t>四</w:t>
      </w:r>
      <w:r>
        <w:rPr>
          <w:rFonts w:ascii="Times New Roman" w:eastAsia="方正仿宋_GBK" w:hAnsi="Times New Roman"/>
          <w:color w:val="000000"/>
          <w:sz w:val="32"/>
          <w:szCs w:val="32"/>
        </w:rPr>
        <w:t>条情形的</w:t>
      </w:r>
      <w:r>
        <w:rPr>
          <w:rFonts w:ascii="Times New Roman" w:eastAsia="方正仿宋_GBK" w:hAnsi="Times New Roman" w:hint="eastAsia"/>
          <w:color w:val="000000"/>
          <w:sz w:val="32"/>
          <w:szCs w:val="32"/>
        </w:rPr>
        <w:t>，海关可接受</w:t>
      </w:r>
      <w:r>
        <w:rPr>
          <w:rFonts w:ascii="Times New Roman" w:eastAsia="方正仿宋_GBK" w:hAnsi="Times New Roman"/>
          <w:color w:val="000000"/>
          <w:sz w:val="32"/>
          <w:szCs w:val="32"/>
        </w:rPr>
        <w:t>纳税义务人</w:t>
      </w:r>
      <w:r>
        <w:rPr>
          <w:rFonts w:ascii="Times New Roman" w:eastAsia="方正仿宋_GBK" w:hAnsi="Times New Roman" w:hint="eastAsia"/>
          <w:color w:val="000000"/>
          <w:sz w:val="32"/>
          <w:szCs w:val="32"/>
        </w:rPr>
        <w:t>在进口货物报关单“运费”栏内仅</w:t>
      </w:r>
      <w:r>
        <w:rPr>
          <w:rFonts w:ascii="Times New Roman" w:eastAsia="方正仿宋_GBK" w:hAnsi="Times New Roman"/>
          <w:color w:val="000000"/>
          <w:sz w:val="32"/>
          <w:szCs w:val="32"/>
        </w:rPr>
        <w:t>填</w:t>
      </w:r>
      <w:r>
        <w:rPr>
          <w:rFonts w:ascii="Times New Roman" w:eastAsia="方正仿宋_GBK" w:hAnsi="Times New Roman" w:hint="eastAsia"/>
          <w:color w:val="000000"/>
          <w:sz w:val="32"/>
          <w:szCs w:val="32"/>
        </w:rPr>
        <w:t>报</w:t>
      </w:r>
      <w:r>
        <w:rPr>
          <w:rFonts w:ascii="Times New Roman" w:eastAsia="方正仿宋_GBK" w:hAnsi="Times New Roman"/>
          <w:color w:val="000000"/>
          <w:sz w:val="32"/>
          <w:szCs w:val="32"/>
        </w:rPr>
        <w:t>运抵境内输入地点</w:t>
      </w:r>
      <w:r>
        <w:rPr>
          <w:rFonts w:ascii="Times New Roman" w:eastAsia="方正仿宋_GBK" w:hAnsi="Times New Roman" w:hint="eastAsia"/>
          <w:color w:val="000000"/>
          <w:sz w:val="32"/>
          <w:szCs w:val="32"/>
        </w:rPr>
        <w:t>起卸前</w:t>
      </w:r>
      <w:r>
        <w:rPr>
          <w:rFonts w:ascii="Times New Roman" w:eastAsia="方正仿宋_GBK" w:hAnsi="Times New Roman"/>
          <w:color w:val="000000"/>
          <w:sz w:val="32"/>
          <w:szCs w:val="32"/>
        </w:rPr>
        <w:t>的</w:t>
      </w:r>
      <w:r>
        <w:rPr>
          <w:rFonts w:ascii="Times New Roman" w:eastAsia="方正仿宋_GBK" w:hAnsi="Times New Roman" w:hint="eastAsia"/>
          <w:color w:val="000000"/>
          <w:sz w:val="32"/>
          <w:szCs w:val="32"/>
        </w:rPr>
        <w:t>运输及其相关费用</w:t>
      </w:r>
      <w:r>
        <w:rPr>
          <w:rFonts w:ascii="Times New Roman" w:eastAsia="方正仿宋_GBK" w:hAnsi="Times New Roman"/>
          <w:color w:val="000000"/>
          <w:sz w:val="32"/>
          <w:szCs w:val="32"/>
        </w:rPr>
        <w:t>。</w:t>
      </w:r>
      <w:r>
        <w:rPr>
          <w:rFonts w:ascii="Times New Roman" w:eastAsia="方正仿宋_GBK" w:hAnsi="Times New Roman"/>
          <w:color w:val="000000"/>
          <w:sz w:val="32"/>
          <w:szCs w:val="32"/>
          <w:lang w:eastAsia="zh-CN"/>
        </w:rPr>
        <w:t>对于</w:t>
      </w:r>
      <w:r>
        <w:rPr>
          <w:rFonts w:ascii="Times New Roman" w:eastAsia="方正仿宋_GBK" w:hAnsi="Times New Roman" w:hint="eastAsia"/>
          <w:color w:val="000000"/>
          <w:sz w:val="32"/>
          <w:szCs w:val="32"/>
          <w:lang w:eastAsia="zh-CN"/>
        </w:rPr>
        <w:t>“运费”栏</w:t>
      </w:r>
      <w:r>
        <w:rPr>
          <w:rFonts w:ascii="Times New Roman" w:eastAsia="方正仿宋_GBK" w:hAnsi="Times New Roman"/>
          <w:color w:val="000000"/>
          <w:sz w:val="32"/>
          <w:szCs w:val="32"/>
          <w:lang w:eastAsia="zh-CN"/>
        </w:rPr>
        <w:t>内</w:t>
      </w:r>
      <w:r>
        <w:rPr>
          <w:rFonts w:ascii="Times New Roman" w:eastAsia="方正仿宋_GBK" w:hAnsi="Times New Roman" w:hint="eastAsia"/>
          <w:color w:val="000000"/>
          <w:sz w:val="32"/>
          <w:szCs w:val="32"/>
          <w:lang w:eastAsia="zh-CN"/>
        </w:rPr>
        <w:t>填报全程</w:t>
      </w:r>
      <w:r>
        <w:rPr>
          <w:rFonts w:ascii="Times New Roman" w:eastAsia="方正仿宋_GBK" w:hAnsi="Times New Roman" w:hint="eastAsia"/>
          <w:color w:val="000000"/>
          <w:sz w:val="32"/>
          <w:szCs w:val="32"/>
        </w:rPr>
        <w:t>运输及其相关费用</w:t>
      </w:r>
      <w:r>
        <w:rPr>
          <w:rFonts w:ascii="Times New Roman" w:eastAsia="方正仿宋_GBK" w:hAnsi="Times New Roman"/>
          <w:color w:val="000000"/>
          <w:sz w:val="32"/>
          <w:szCs w:val="32"/>
          <w:lang w:eastAsia="zh-CN"/>
        </w:rPr>
        <w:t>的</w:t>
      </w:r>
      <w:r>
        <w:rPr>
          <w:rFonts w:ascii="Times New Roman" w:eastAsia="方正仿宋_GBK" w:hAnsi="Times New Roman" w:hint="eastAsia"/>
          <w:color w:val="000000"/>
          <w:sz w:val="32"/>
          <w:szCs w:val="32"/>
          <w:lang w:eastAsia="zh-CN"/>
        </w:rPr>
        <w:t>，</w:t>
      </w:r>
      <w:r>
        <w:rPr>
          <w:rFonts w:ascii="Times New Roman" w:eastAsia="方正仿宋_GBK" w:hAnsi="Times New Roman" w:hint="eastAsia"/>
          <w:color w:val="000000"/>
          <w:sz w:val="32"/>
          <w:szCs w:val="32"/>
        </w:rPr>
        <w:t>海关可接受</w:t>
      </w:r>
      <w:r>
        <w:rPr>
          <w:rFonts w:ascii="Times New Roman" w:eastAsia="方正仿宋_GBK" w:hAnsi="Times New Roman"/>
          <w:color w:val="000000"/>
          <w:sz w:val="32"/>
          <w:szCs w:val="32"/>
        </w:rPr>
        <w:t>纳税义务人</w:t>
      </w:r>
      <w:r>
        <w:rPr>
          <w:rFonts w:ascii="Times New Roman" w:eastAsia="方正仿宋_GBK" w:hAnsi="Times New Roman" w:hint="eastAsia"/>
          <w:color w:val="000000"/>
          <w:sz w:val="32"/>
          <w:szCs w:val="32"/>
        </w:rPr>
        <w:t>以负值的形式在报关单“杂费”栏内填报</w:t>
      </w:r>
      <w:r>
        <w:rPr>
          <w:rFonts w:ascii="Times New Roman" w:eastAsia="方正仿宋_GBK" w:hAnsi="Times New Roman" w:hint="eastAsia"/>
          <w:color w:val="000000"/>
          <w:sz w:val="32"/>
          <w:szCs w:val="32"/>
          <w:lang w:eastAsia="zh-CN"/>
        </w:rPr>
        <w:t>已包含在申报运费中的内河</w:t>
      </w:r>
      <w:r>
        <w:rPr>
          <w:rFonts w:ascii="Times New Roman" w:eastAsia="方正仿宋_GBK" w:hAnsi="Times New Roman" w:hint="eastAsia"/>
          <w:color w:val="000000"/>
          <w:sz w:val="32"/>
          <w:szCs w:val="32"/>
        </w:rPr>
        <w:t>运输及其相关费用。</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b/>
          <w:bCs/>
          <w:color w:val="000000"/>
          <w:sz w:val="32"/>
          <w:szCs w:val="32"/>
        </w:rPr>
        <w:t>第</w:t>
      </w:r>
      <w:r>
        <w:rPr>
          <w:rFonts w:ascii="Times New Roman" w:eastAsia="方正仿宋_GBK" w:hAnsi="Times New Roman"/>
          <w:b/>
          <w:bCs/>
          <w:color w:val="000000"/>
          <w:sz w:val="32"/>
          <w:szCs w:val="32"/>
        </w:rPr>
        <w:t>七</w:t>
      </w:r>
      <w:r>
        <w:rPr>
          <w:rFonts w:ascii="Times New Roman" w:eastAsia="方正仿宋_GBK" w:hAnsi="Times New Roman" w:hint="eastAsia"/>
          <w:b/>
          <w:bCs/>
          <w:color w:val="000000"/>
          <w:sz w:val="32"/>
          <w:szCs w:val="32"/>
        </w:rPr>
        <w:t xml:space="preserve">条 </w:t>
      </w:r>
      <w:r>
        <w:rPr>
          <w:rFonts w:ascii="Times New Roman" w:eastAsia="方正仿宋_GBK" w:hAnsi="Times New Roman"/>
          <w:b/>
          <w:bCs/>
          <w:color w:val="000000"/>
          <w:sz w:val="32"/>
          <w:szCs w:val="32"/>
        </w:rPr>
        <w:t xml:space="preserve"> </w:t>
      </w:r>
      <w:r>
        <w:rPr>
          <w:rFonts w:ascii="Times New Roman" w:eastAsia="方正仿宋_GBK" w:hAnsi="Times New Roman"/>
          <w:color w:val="000000"/>
          <w:sz w:val="32"/>
          <w:szCs w:val="32"/>
        </w:rPr>
        <w:t>进口货物申报价格</w:t>
      </w:r>
      <w:r>
        <w:rPr>
          <w:rFonts w:ascii="Times New Roman" w:eastAsia="方正仿宋_GBK" w:hAnsi="Times New Roman" w:hint="eastAsia"/>
          <w:color w:val="000000"/>
          <w:sz w:val="32"/>
          <w:szCs w:val="32"/>
          <w:lang w:eastAsia="zh-CN"/>
        </w:rPr>
        <w:t>已</w:t>
      </w:r>
      <w:r>
        <w:rPr>
          <w:rFonts w:ascii="Times New Roman" w:eastAsia="方正仿宋_GBK" w:hAnsi="Times New Roman"/>
          <w:color w:val="000000"/>
          <w:sz w:val="32"/>
          <w:szCs w:val="32"/>
        </w:rPr>
        <w:t>含运输及其相关费用且符合第</w:t>
      </w:r>
      <w:r>
        <w:rPr>
          <w:rFonts w:ascii="Times New Roman" w:eastAsia="方正仿宋_GBK" w:hAnsi="Times New Roman"/>
          <w:color w:val="000000"/>
          <w:sz w:val="32"/>
          <w:szCs w:val="32"/>
          <w:lang w:eastAsia="zh-CN"/>
        </w:rPr>
        <w:t>四</w:t>
      </w:r>
      <w:r>
        <w:rPr>
          <w:rFonts w:ascii="Times New Roman" w:eastAsia="方正仿宋_GBK" w:hAnsi="Times New Roman"/>
          <w:color w:val="000000"/>
          <w:sz w:val="32"/>
          <w:szCs w:val="32"/>
        </w:rPr>
        <w:t>条情形的</w:t>
      </w:r>
      <w:r>
        <w:rPr>
          <w:rFonts w:ascii="Times New Roman" w:eastAsia="方正仿宋_GBK" w:hAnsi="Times New Roman" w:hint="eastAsia"/>
          <w:color w:val="000000"/>
          <w:sz w:val="32"/>
          <w:szCs w:val="32"/>
        </w:rPr>
        <w:t>，海关可接受</w:t>
      </w:r>
      <w:r>
        <w:rPr>
          <w:rFonts w:ascii="Times New Roman" w:eastAsia="方正仿宋_GBK" w:hAnsi="Times New Roman"/>
          <w:color w:val="000000"/>
          <w:sz w:val="32"/>
          <w:szCs w:val="32"/>
        </w:rPr>
        <w:t>纳税义务人</w:t>
      </w:r>
      <w:r>
        <w:rPr>
          <w:rFonts w:ascii="Times New Roman" w:eastAsia="方正仿宋_GBK" w:hAnsi="Times New Roman" w:hint="eastAsia"/>
          <w:color w:val="000000"/>
          <w:sz w:val="32"/>
          <w:szCs w:val="32"/>
        </w:rPr>
        <w:t>以负值的形式在报关单“杂费”栏内填报</w:t>
      </w:r>
      <w:r>
        <w:rPr>
          <w:rFonts w:ascii="Times New Roman" w:eastAsia="方正仿宋_GBK" w:hAnsi="Times New Roman" w:hint="eastAsia"/>
          <w:color w:val="000000"/>
          <w:sz w:val="32"/>
          <w:szCs w:val="32"/>
          <w:lang w:eastAsia="zh-CN"/>
        </w:rPr>
        <w:t>已包含在申报价格中的内河</w:t>
      </w:r>
      <w:r>
        <w:rPr>
          <w:rFonts w:ascii="Times New Roman" w:eastAsia="方正仿宋_GBK" w:hAnsi="Times New Roman" w:hint="eastAsia"/>
          <w:color w:val="000000"/>
          <w:sz w:val="32"/>
          <w:szCs w:val="32"/>
        </w:rPr>
        <w:t>运输及其相关费用。</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b/>
          <w:bCs/>
          <w:color w:val="000000"/>
          <w:sz w:val="32"/>
          <w:szCs w:val="32"/>
        </w:rPr>
        <w:t xml:space="preserve">第八条 </w:t>
      </w:r>
      <w:r>
        <w:rPr>
          <w:rFonts w:ascii="Times New Roman" w:eastAsia="方正仿宋_GBK" w:hAnsi="Times New Roman"/>
          <w:color w:val="000000"/>
          <w:sz w:val="32"/>
          <w:szCs w:val="32"/>
        </w:rPr>
        <w:t> 鉴于涉及内河运输的进口货物在运输过程中运行模式具有多样性，海关在对运输及其相关费用进行审核时，应按照《审价办法》的有关规定执行，并注意与纳税义务人及船运公司、第三方中介机构等社会单位的沟通。</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黑体_GBK">
    <w:panose1 w:val="03000509000000000000"/>
    <w:charset w:val="86"/>
    <w:family w:val="script"/>
    <w:pitch w:val="variable"/>
    <w:sig w:usb0="00000001" w:usb1="080E0000" w:usb2="00000000" w:usb3="00000000" w:csb0="00040000" w:csb1="00000000"/>
  </w:font>
  <w:font w:name="方正小标宋_GBK">
    <w:altName w:val="微软雅黑"/>
    <w:panose1 w:val="03000509000000000000"/>
    <w:charset w:val="86"/>
    <w:family w:val="script"/>
    <w:pitch w:val="variable"/>
    <w:sig w:usb0="00000000" w:usb1="00000000" w:usb2="00000010" w:usb3="00000000" w:csb0="00040000" w:csb1="00000000"/>
  </w:font>
  <w:font w:name="方正仿宋_GBK">
    <w:altName w:val="微软雅黑"/>
    <w:panose1 w:val="03000509000000000000"/>
    <w:charset w:val="86"/>
    <w:family w:val="script"/>
    <w:pitch w:val="variable"/>
    <w:sig w:usb0="00000000" w:usb1="00000000" w:usb2="00000010" w:usb3="00000000" w:csb0="00040000"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Luxi Sans">
    <w:altName w:val="Times New Roman"/>
    <w:panose1 w:val="00000000000000000000"/>
    <w:charset w:val="00"/>
    <w:family w:val="auto"/>
    <w:pitch w:val="variable"/>
    <w:sig w:usb0="00000000" w:usb1="00000000" w:usb2="00000000" w:usb3="00000000" w:csb0="0000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Lucida Sans">
    <w:altName w:val="DejaVu Sans"/>
    <w:panose1 w:val="020B0602030504020204"/>
    <w:charset w:val="00"/>
    <w:family w:val="auto"/>
    <w:pitch w:val="variable"/>
    <w:sig w:usb0="00000000" w:usb1="00000000" w:usb2="00000000" w:usb3="00000000" w:csb0="2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7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WU3NTVkN2M4ODNkMTcxMmMwMjE2N2YxMjI3YmIwM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footnote text"/>
    <w:basedOn w:val="0"/>
    <w:pPr>
      <w:snapToGrid w:val="0"/>
      <w:jc w:val="left"/>
    </w:pPr>
    <w:rPr>
      <w:sz w:val="18"/>
    </w:rPr>
  </w:style>
  <w:style w:type="character" w:styleId="19">
    <w:name w:val="footnote reference"/>
    <w:basedOn w:val="10"/>
    <w:rPr>
      <w:vertAlign w:val="superscript"/>
    </w:rPr>
  </w:style>
  <w:style w:type="paragraph" w:customStyle="1" w:styleId="20">
    <w:name w:val="样式 10 磅"/>
    <w:pPr>
      <w:widowControl w:val="0"/>
      <w:jc w:val="both"/>
    </w:pPr>
    <w:rPr>
      <w:rFonts w:ascii="Calibri" w:eastAsia="宋体" w:cs="Times New Roman" w:hAnsi="Calibri"/>
      <w:kern w:val="2"/>
      <w:sz w:val="21"/>
      <w:szCs w:val="22"/>
      <w:lang w:val="en-US" w:eastAsia="zh-CN" w:bidi="ar-SA"/>
    </w:rPr>
  </w:style>
  <w:style w:type="paragraph" w:customStyle="1" w:styleId="21">
    <w:name w:val="样式 1 10 磅"/>
    <w:pPr>
      <w:widowControl w:val="0"/>
      <w:jc w:val="both"/>
    </w:pPr>
    <w:rPr>
      <w:rFonts w:ascii="Calibri" w:eastAsia="宋体" w:cs="Times New Roman" w:hAnsi="Calibri"/>
      <w:kern w:val="2"/>
      <w:sz w:val="21"/>
      <w:szCs w:val="22"/>
      <w:lang w:val="en-US" w:eastAsia="zh-CN" w:bidi="ar-SA"/>
    </w:rPr>
  </w:style>
  <w:style w:type="paragraph" w:customStyle="1" w:styleId="22">
    <w:name w:val="样式 2 10 磅"/>
    <w:pPr>
      <w:widowControl w:val="0"/>
      <w:jc w:val="both"/>
    </w:pPr>
    <w:rPr>
      <w:rFonts w:ascii="Calibri" w:eastAsia="宋体" w:cs="Times New Roman" w:hAnsi="Calibri"/>
      <w:kern w:val="2"/>
      <w:sz w:val="21"/>
      <w:szCs w:val="22"/>
      <w:lang w:val="en-US" w:eastAsia="zh-CN" w:bidi="ar-SA"/>
    </w:rPr>
  </w:style>
  <w:style w:type="paragraph" w:customStyle="1" w:styleId="23">
    <w:name w:val="样式 3 10 磅"/>
    <w:pPr>
      <w:widowControl w:val="0"/>
      <w:jc w:val="both"/>
    </w:pPr>
    <w:rPr>
      <w:rFonts w:ascii="Calibri" w:eastAsia="宋体" w:cs="Times New Roman" w:hAnsi="Calibri"/>
      <w:kern w:val="2"/>
      <w:sz w:val="21"/>
      <w:szCs w:val="22"/>
      <w:lang w:val="en-US" w:eastAsia="zh-CN" w:bidi="ar-SA"/>
    </w:rPr>
  </w:style>
  <w:style w:type="paragraph" w:customStyle="1" w:styleId="24">
    <w:name w:val="样式 4 10 磅"/>
    <w:pPr>
      <w:widowControl w:val="0"/>
      <w:jc w:val="both"/>
    </w:pPr>
    <w:rPr>
      <w:rFonts w:ascii="Calibri" w:eastAsia="宋体" w:cs="Times New Roman" w:hAnsi="Calibri"/>
      <w:kern w:val="2"/>
      <w:sz w:val="21"/>
      <w:szCs w:val="22"/>
      <w:lang w:val="en-US" w:eastAsia="zh-CN" w:bidi="ar-SA"/>
    </w:rPr>
  </w:style>
  <w:style w:type="paragraph" w:customStyle="1" w:styleId="25">
    <w:name w:val="样式 5 10 磅"/>
    <w:pPr>
      <w:widowControl w:val="0"/>
      <w:jc w:val="both"/>
    </w:pPr>
    <w:rPr>
      <w:rFonts w:ascii="Calibri" w:eastAsia="宋体" w:cs="Times New Roman" w:hAnsi="Calibri"/>
      <w:kern w:val="2"/>
      <w:sz w:val="21"/>
      <w:szCs w:val="22"/>
      <w:lang w:val="en-US" w:eastAsia="zh-CN" w:bidi="ar-SA"/>
    </w:rPr>
  </w:style>
  <w:style w:type="paragraph" w:customStyle="1" w:styleId="26">
    <w:name w:val="样式 6 10 磅"/>
    <w:pPr>
      <w:widowControl w:val="0"/>
      <w:jc w:val="both"/>
    </w:pPr>
    <w:rPr>
      <w:rFonts w:ascii="Calibri" w:eastAsia="宋体" w:cs="Arial" w:hAnsi="Calibri"/>
      <w:kern w:val="2"/>
      <w:sz w:val="21"/>
      <w:szCs w:val="22"/>
      <w:lang w:val="en-US" w:eastAsia="zh-CN" w:bidi="ar-SA"/>
    </w:rPr>
  </w:style>
  <w:style w:type="paragraph" w:customStyle="1" w:styleId="27">
    <w:name w:val="样式 7 10 磅"/>
    <w:pPr>
      <w:widowControl w:val="0"/>
      <w:jc w:val="both"/>
    </w:pPr>
    <w:rPr>
      <w:rFonts w:ascii="Calibri" w:eastAsia="宋体" w:cs="Times New Roman" w:hAnsi="Calibri"/>
      <w:kern w:val="2"/>
      <w:sz w:val="21"/>
      <w:szCs w:val="22"/>
      <w:lang w:val="en-US" w:eastAsia="zh-CN" w:bidi="ar-SA"/>
    </w:rPr>
  </w:style>
  <w:style w:type="paragraph" w:customStyle="1" w:styleId="28">
    <w:name w:val="样式 8 10 磅"/>
    <w:pPr>
      <w:widowControl w:val="0"/>
      <w:jc w:val="both"/>
    </w:pPr>
    <w:rPr>
      <w:rFonts w:ascii="Calibri" w:eastAsia="宋体" w:cs="Times New Roman" w:hAnsi="Calibri"/>
      <w:kern w:val="2"/>
      <w:sz w:val="21"/>
      <w:szCs w:val="22"/>
      <w:lang w:val="en-US" w:eastAsia="zh-CN" w:bidi="ar-SA"/>
    </w:rPr>
  </w:style>
  <w:style w:type="paragraph" w:customStyle="1" w:styleId="29">
    <w:name w:val="样式 9 10 磅"/>
    <w:pPr>
      <w:widowControl w:val="0"/>
      <w:jc w:val="both"/>
    </w:pPr>
    <w:rPr>
      <w:rFonts w:ascii="Calibri" w:eastAsia="宋体" w:cs="Times New Roman" w:hAnsi="Calibri"/>
      <w:kern w:val="2"/>
      <w:sz w:val="21"/>
      <w:szCs w:val="22"/>
      <w:lang w:val="en-US" w:eastAsia="zh-CN" w:bidi="ar-SA"/>
    </w:rPr>
  </w:style>
  <w:style w:type="paragraph" w:customStyle="1" w:styleId="30">
    <w:name w:val="样式 10 10 磅"/>
    <w:pPr>
      <w:widowControl w:val="0"/>
      <w:jc w:val="both"/>
    </w:pPr>
    <w:rPr>
      <w:rFonts w:ascii="Calibri" w:eastAsia="宋体" w:cs="Times New Roman" w:hAnsi="Calibri"/>
      <w:kern w:val="2"/>
      <w:sz w:val="21"/>
      <w:szCs w:val="22"/>
      <w:lang w:val="en-US" w:eastAsia="zh-CN" w:bidi="ar-SA"/>
    </w:rPr>
  </w:style>
  <w:style w:type="paragraph" w:customStyle="1" w:styleId="31">
    <w:name w:val="样式 11 10 磅"/>
    <w:pPr>
      <w:widowControl w:val="0"/>
      <w:jc w:val="both"/>
    </w:pPr>
    <w:rPr>
      <w:rFonts w:ascii="Calibri" w:eastAsia="宋体" w:cs="Times New Roman" w:hAnsi="Calibri"/>
      <w:kern w:val="2"/>
      <w:sz w:val="21"/>
      <w:szCs w:val="22"/>
      <w:lang w:val="en-US" w:eastAsia="zh-CN" w:bidi="ar-SA"/>
    </w:rPr>
  </w:style>
  <w:style w:type="paragraph" w:customStyle="1" w:styleId="32">
    <w:name w:val="样式 12 10 磅"/>
    <w:pPr>
      <w:widowControl w:val="0"/>
      <w:jc w:val="both"/>
    </w:pPr>
    <w:rPr>
      <w:rFonts w:ascii="Calibri" w:eastAsia="宋体" w:cs="Times New Roman" w:hAnsi="Calibri"/>
      <w:kern w:val="2"/>
      <w:sz w:val="21"/>
      <w:szCs w:val="22"/>
      <w:lang w:val="en-US" w:eastAsia="zh-CN" w:bidi="ar-SA"/>
    </w:rPr>
  </w:style>
  <w:style w:type="paragraph" w:customStyle="1" w:styleId="33">
    <w:name w:val="样式 13 10 磅"/>
    <w:pPr>
      <w:widowControl w:val="0"/>
      <w:jc w:val="both"/>
    </w:pPr>
    <w:rPr>
      <w:rFonts w:ascii="Calibri" w:eastAsia="宋体" w:cs="Times New Roman" w:hAnsi="Calibri"/>
      <w:kern w:val="2"/>
      <w:sz w:val="21"/>
      <w:szCs w:val="22"/>
      <w:lang w:val="en-US" w:eastAsia="zh-CN" w:bidi="ar-SA"/>
    </w:rPr>
  </w:style>
  <w:style w:type="paragraph" w:customStyle="1" w:styleId="34">
    <w:name w:val="样式 14 10 磅"/>
    <w:pPr>
      <w:widowControl w:val="0"/>
      <w:jc w:val="both"/>
    </w:pPr>
    <w:rPr>
      <w:rFonts w:ascii="Calibri" w:eastAsia="宋体" w:cs="Times New Roman" w:hAnsi="Calibri"/>
      <w:kern w:val="2"/>
      <w:sz w:val="21"/>
      <w:szCs w:val="22"/>
      <w:lang w:val="en-US" w:eastAsia="zh-CN" w:bidi="ar-SA"/>
    </w:rPr>
  </w:style>
  <w:style w:type="paragraph" w:customStyle="1" w:styleId="35">
    <w:name w:val="样式 15 10 磅"/>
    <w:pPr>
      <w:widowControl w:val="0"/>
      <w:jc w:val="both"/>
    </w:pPr>
    <w:rPr>
      <w:rFonts w:ascii="Calibri" w:eastAsia="宋体" w:cs="Times New Roman" w:hAnsi="Calibri"/>
      <w:kern w:val="2"/>
      <w:sz w:val="21"/>
      <w:szCs w:val="22"/>
      <w:lang w:val="en-US" w:eastAsia="zh-CN" w:bidi="ar-SA"/>
    </w:rPr>
  </w:style>
  <w:style w:type="paragraph" w:customStyle="1" w:styleId="36">
    <w:name w:val="样式 16 10 磅"/>
    <w:pPr>
      <w:widowControl w:val="0"/>
      <w:jc w:val="both"/>
    </w:pPr>
    <w:rPr>
      <w:rFonts w:ascii="Calibri" w:eastAsia="宋体" w:cs="Times New Roman" w:hAnsi="Calibri"/>
      <w:kern w:val="2"/>
      <w:sz w:val="21"/>
      <w:szCs w:val="22"/>
      <w:lang w:val="en-US" w:eastAsia="zh-CN" w:bidi="ar-SA"/>
    </w:rPr>
  </w:style>
  <w:style w:type="paragraph" w:customStyle="1" w:styleId="37">
    <w:name w:val="样式 17 10 磅"/>
    <w:pPr>
      <w:widowControl w:val="0"/>
      <w:jc w:val="both"/>
    </w:pPr>
    <w:rPr>
      <w:rFonts w:ascii="Calibri" w:eastAsia="宋体" w:cs="Times New Roman" w:hAnsi="Calibri"/>
      <w:kern w:val="2"/>
      <w:sz w:val="21"/>
      <w:szCs w:val="22"/>
      <w:lang w:val="en-US" w:eastAsia="zh-CN" w:bidi="ar-SA"/>
    </w:rPr>
  </w:style>
  <w:style w:type="paragraph" w:customStyle="1" w:styleId="38">
    <w:name w:val="样式 18 10 磅"/>
    <w:pPr>
      <w:widowControl w:val="0"/>
      <w:jc w:val="both"/>
    </w:pPr>
    <w:rPr>
      <w:rFonts w:ascii="Calibri" w:eastAsia="宋体" w:cs="Times New Roman" w:hAnsi="Calibri"/>
      <w:kern w:val="2"/>
      <w:sz w:val="21"/>
      <w:szCs w:val="22"/>
      <w:lang w:val="en-US" w:eastAsia="zh-CN" w:bidi="ar-SA"/>
    </w:rPr>
  </w:style>
  <w:style w:type="paragraph" w:customStyle="1" w:styleId="39">
    <w:name w:val="样式 小四"/>
    <w:pPr>
      <w:widowControl w:val="0"/>
      <w:spacing w:line="240" w:lineRule="auto"/>
      <w:jc w:val="left"/>
    </w:pPr>
    <w:rPr>
      <w:rFonts w:ascii="宋体" w:eastAsia="宋体" w:cs="Lucida Sans"/>
      <w:kern w:val="2"/>
      <w:sz w:val="24"/>
      <w:szCs w:val="21"/>
      <w:lang w:val="en-US" w:eastAsia="zh-CN" w:bidi="ar-SA"/>
    </w:rPr>
  </w:style>
  <w:style w:type="paragraph" w:styleId="40">
    <w:name w:val="annotation text"/>
    <w:basedOn w:val="0"/>
    <w:pPr>
      <w:jc w:val="left"/>
    </w:pPr>
  </w:style>
  <w:style w:type="paragraph" w:styleId="41">
    <w:name w:val="annotation subject"/>
    <w:basedOn w:val="40"/>
    <w:next w:val="40"/>
    <w:rPr>
      <w:b/>
    </w:rPr>
  </w:style>
  <w:style w:type="paragraph" w:customStyle="1" w:styleId="42">
    <w:name w:val="样式 19 10 磅"/>
    <w:pPr>
      <w:jc w:val="both"/>
    </w:pPr>
    <w:rPr>
      <w:rFonts w:ascii="Calibri" w:eastAsia="宋体" w:cs="宋体" w:hAnsi="Calibri"/>
      <w:sz w:val="21"/>
      <w:szCs w:val="21"/>
      <w:lang w:val="en-US" w:eastAsia="zh-CN" w:bidi="ar-SA"/>
    </w:rPr>
  </w:style>
  <w:style w:type="paragraph" w:customStyle="1" w:styleId="43">
    <w:name w:val="样式 20 10 磅"/>
    <w:pPr>
      <w:widowControl w:val="0"/>
      <w:jc w:val="both"/>
    </w:pPr>
    <w:rPr>
      <w:rFonts w:ascii="Calibri" w:eastAsia="宋体" w:cs="Times New Roman" w:hAnsi="Calibri"/>
      <w:kern w:val="2"/>
      <w:sz w:val="21"/>
      <w:szCs w:val="22"/>
      <w:lang w:val="en-US" w:eastAsia="zh-CN" w:bidi="ar-SA"/>
    </w:rPr>
  </w:style>
  <w:style w:type="paragraph" w:customStyle="1" w:styleId="44">
    <w:name w:val="样式 21 10 磅"/>
    <w:pPr>
      <w:widowControl w:val="0"/>
      <w:jc w:val="both"/>
    </w:pPr>
    <w:rPr>
      <w:rFonts w:ascii="Calibri" w:eastAsia="宋体" w:cs="Times New Roman" w:hAnsi="Calibri"/>
      <w:kern w:val="2"/>
      <w:sz w:val="21"/>
      <w:szCs w:val="22"/>
      <w:lang w:val="en-US" w:eastAsia="zh-CN" w:bidi="ar-SA"/>
    </w:rPr>
  </w:style>
  <w:style w:type="paragraph" w:customStyle="1" w:styleId="45">
    <w:name w:val="样式 22 10 磅"/>
    <w:pPr>
      <w:widowControl w:val="0"/>
      <w:jc w:val="both"/>
    </w:pPr>
    <w:rPr>
      <w:rFonts w:ascii="Calibri" w:eastAsia="宋体" w:cs="Times New Roman" w:hAnsi="Calibri"/>
      <w:kern w:val="2"/>
      <w:sz w:val="21"/>
      <w:szCs w:val="22"/>
      <w:lang w:val="en-US" w:eastAsia="zh-CN" w:bidi="ar-SA"/>
    </w:rPr>
  </w:style>
  <w:style w:type="paragraph" w:customStyle="1" w:styleId="46">
    <w:name w:val="样式 23 10 磅"/>
    <w:pPr>
      <w:widowControl w:val="0"/>
      <w:jc w:val="both"/>
    </w:pPr>
    <w:rPr>
      <w:rFonts w:ascii="Calibri" w:eastAsia="宋体" w:cs="Times New Roman" w:hAnsi="Calibri"/>
      <w:kern w:val="2"/>
      <w:sz w:val="21"/>
      <w:szCs w:val="22"/>
      <w:lang w:val="en-US" w:eastAsia="zh-CN" w:bidi="ar-SA"/>
    </w:rPr>
  </w:style>
  <w:style w:type="paragraph" w:customStyle="1" w:styleId="47">
    <w:name w:val="样式 24 10 磅"/>
    <w:pPr>
      <w:widowControl w:val="0"/>
      <w:jc w:val="both"/>
    </w:pPr>
    <w:rPr>
      <w:rFonts w:ascii="Calibri" w:eastAsia="宋体" w:cs="Times New Roman" w:hAnsi="Calibri"/>
      <w:kern w:val="2"/>
      <w:sz w:val="21"/>
      <w:szCs w:val="22"/>
      <w:lang w:val="en-US" w:eastAsia="zh-CN" w:bidi="ar-SA"/>
    </w:rPr>
  </w:style>
  <w:style w:type="paragraph" w:customStyle="1" w:styleId="48">
    <w:name w:val="样式 25 10 磅"/>
    <w:pPr>
      <w:widowControl w:val="0"/>
      <w:jc w:val="both"/>
    </w:pPr>
    <w:rPr>
      <w:rFonts w:ascii="Calibri" w:eastAsia="宋体" w:cs="Times New Roman" w:hAnsi="Calibri"/>
      <w:kern w:val="2"/>
      <w:sz w:val="21"/>
      <w:szCs w:val="22"/>
      <w:lang w:val="en-US" w:eastAsia="zh-CN" w:bidi="ar-SA"/>
    </w:rPr>
  </w:style>
  <w:style w:type="paragraph" w:customStyle="1" w:styleId="49">
    <w:name w:val="样式 26 10 磅"/>
    <w:pPr>
      <w:widowControl w:val="0"/>
      <w:jc w:val="both"/>
    </w:pPr>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337</TotalTime>
  <Application>Yozo_Office</Application>
  <Pages>2</Pages>
  <Words>865</Words>
  <Characters>866</Characters>
  <Lines>43</Lines>
  <Paragraphs>17</Paragraphs>
  <CharactersWithSpaces>882</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周琪娴</cp:lastModifiedBy>
  <cp:revision>3</cp:revision>
  <cp:lastPrinted>2023-05-05T00:51:42Z</cp:lastPrinted>
  <dcterms:created xsi:type="dcterms:W3CDTF">2017-11-20T02:14:00Z</dcterms:created>
  <dcterms:modified xsi:type="dcterms:W3CDTF">2023-05-29T06:29:17Z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6D17BC772FCD4B63AF93F35F989CC128</vt:lpwstr>
  </property>
</Properties>
</file>